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68" w:rsidRDefault="00AE3F68"/>
    <w:p w:rsidR="00AE3F68" w:rsidRPr="00D57A8B" w:rsidRDefault="00AE3F68" w:rsidP="00D57A8B">
      <w:pPr>
        <w:widowControl w:val="0"/>
        <w:autoSpaceDE w:val="0"/>
        <w:autoSpaceDN w:val="0"/>
        <w:adjustRightInd w:val="0"/>
        <w:spacing w:after="0" w:line="240" w:lineRule="auto"/>
        <w:rPr>
          <w:b/>
          <w:sz w:val="28"/>
          <w:szCs w:val="28"/>
        </w:rPr>
      </w:pPr>
      <w:r w:rsidRPr="00933AAE">
        <w:rPr>
          <w:b/>
          <w:sz w:val="28"/>
          <w:szCs w:val="28"/>
        </w:rPr>
        <w:t>SPATIAL ANALYSIS TO PROMOTE RENEWABLES:</w:t>
      </w:r>
    </w:p>
    <w:p w:rsidR="00AE3F68" w:rsidRDefault="00AE3F68" w:rsidP="006E79F3">
      <w:pPr>
        <w:widowControl w:val="0"/>
        <w:autoSpaceDE w:val="0"/>
        <w:autoSpaceDN w:val="0"/>
        <w:adjustRightInd w:val="0"/>
        <w:spacing w:after="0" w:line="240" w:lineRule="auto"/>
        <w:rPr>
          <w:b/>
        </w:rPr>
      </w:pPr>
    </w:p>
    <w:p w:rsidR="00AE3F68" w:rsidRDefault="00AE3F68" w:rsidP="00A634BE">
      <w:pPr>
        <w:pStyle w:val="NoSpacing"/>
        <w:rPr>
          <w:rStyle w:val="apple-converted-space"/>
          <w:rFonts w:ascii="Arial" w:hAnsi="Arial" w:cs="Arial"/>
          <w:b/>
          <w:bCs/>
          <w:color w:val="000000"/>
          <w:sz w:val="21"/>
          <w:szCs w:val="21"/>
          <w:shd w:val="clear" w:color="auto" w:fill="FFFFFF"/>
        </w:rPr>
      </w:pPr>
    </w:p>
    <w:p w:rsidR="00AE3F68" w:rsidRDefault="00AE3F68" w:rsidP="00A634BE">
      <w:pPr>
        <w:pStyle w:val="NoSpacing"/>
        <w:rPr>
          <w:rStyle w:val="apple-converted-space"/>
          <w:rFonts w:ascii="Arial" w:hAnsi="Arial" w:cs="Arial"/>
          <w:b/>
          <w:bCs/>
          <w:color w:val="000000"/>
          <w:sz w:val="21"/>
          <w:szCs w:val="21"/>
          <w:shd w:val="clear" w:color="auto" w:fill="FFFFFF"/>
        </w:rPr>
      </w:pPr>
    </w:p>
    <w:p w:rsidR="00AE3F68" w:rsidRDefault="00AE3F68" w:rsidP="00A634BE">
      <w:pPr>
        <w:pStyle w:val="NoSpacing"/>
        <w:rPr>
          <w:rStyle w:val="apple-converted-space"/>
          <w:rFonts w:ascii="Arial" w:hAnsi="Arial" w:cs="Arial"/>
          <w:b/>
          <w:bCs/>
          <w:color w:val="000000"/>
          <w:sz w:val="21"/>
          <w:szCs w:val="21"/>
          <w:shd w:val="clear" w:color="auto" w:fill="FFFFFF"/>
        </w:rPr>
      </w:pPr>
    </w:p>
    <w:p w:rsidR="00AE3F68" w:rsidRDefault="00AE3F68" w:rsidP="00A634BE">
      <w:pPr>
        <w:pStyle w:val="NoSpacing"/>
        <w:rPr>
          <w:rStyle w:val="apple-converted-space"/>
          <w:rFonts w:ascii="Arial" w:hAnsi="Arial" w:cs="Arial"/>
          <w:b/>
          <w:bCs/>
          <w:color w:val="000000"/>
          <w:sz w:val="21"/>
          <w:szCs w:val="21"/>
          <w:shd w:val="clear" w:color="auto" w:fill="FFFFFF"/>
        </w:rPr>
      </w:pPr>
    </w:p>
    <w:p w:rsidR="00AE3F68" w:rsidRDefault="00AE3F68" w:rsidP="00A634BE">
      <w:pPr>
        <w:pStyle w:val="NoSpacing"/>
        <w:rPr>
          <w:rStyle w:val="apple-converted-space"/>
          <w:b/>
          <w:bCs/>
          <w:color w:val="000000"/>
          <w:szCs w:val="21"/>
          <w:shd w:val="clear" w:color="auto" w:fill="FFFFFF"/>
        </w:rPr>
      </w:pPr>
      <w:r w:rsidRPr="001530CB">
        <w:rPr>
          <w:rStyle w:val="apple-converted-space"/>
          <w:b/>
          <w:bCs/>
          <w:color w:val="000000"/>
          <w:szCs w:val="21"/>
          <w:shd w:val="clear" w:color="auto" w:fill="FFFFFF"/>
        </w:rPr>
        <w:t>Abstract</w:t>
      </w:r>
      <w:bookmarkStart w:id="0" w:name="_GoBack"/>
      <w:bookmarkEnd w:id="0"/>
      <w:r w:rsidRPr="001530CB">
        <w:rPr>
          <w:rStyle w:val="apple-converted-space"/>
          <w:b/>
          <w:bCs/>
          <w:color w:val="000000"/>
          <w:szCs w:val="21"/>
          <w:shd w:val="clear" w:color="auto" w:fill="FFFFFF"/>
        </w:rPr>
        <w:tab/>
      </w:r>
    </w:p>
    <w:p w:rsidR="00AE3F68" w:rsidRPr="001530CB" w:rsidRDefault="00AE3F68" w:rsidP="00A634BE">
      <w:pPr>
        <w:pStyle w:val="NoSpacing"/>
        <w:rPr>
          <w:rStyle w:val="apple-converted-space"/>
          <w:b/>
          <w:bCs/>
          <w:color w:val="000000"/>
          <w:szCs w:val="21"/>
          <w:shd w:val="clear" w:color="auto" w:fill="FFFFFF"/>
        </w:rPr>
      </w:pPr>
    </w:p>
    <w:p w:rsidR="00AE3F68" w:rsidRDefault="00AE3F68" w:rsidP="005772CD">
      <w:pPr>
        <w:pStyle w:val="NoSpacing"/>
        <w:jc w:val="both"/>
        <w:rPr>
          <w:rFonts w:cs="Calibri"/>
          <w:lang w:val="en-US" w:eastAsia="en-ZA"/>
        </w:rPr>
      </w:pPr>
      <w:smartTag w:uri="urn:schemas-microsoft-com:office:smarttags" w:element="City">
        <w:r w:rsidRPr="000F0CEA">
          <w:rPr>
            <w:rFonts w:cs="Calibri"/>
            <w:lang w:val="en-US" w:eastAsia="en-ZA"/>
          </w:rPr>
          <w:t>South Africa</w:t>
        </w:r>
      </w:smartTag>
      <w:r w:rsidRPr="000F0CEA">
        <w:rPr>
          <w:rFonts w:cs="Calibri"/>
          <w:lang w:val="en-US" w:eastAsia="en-ZA"/>
        </w:rPr>
        <w:t xml:space="preserve"> has significant potential for </w:t>
      </w:r>
      <w:r>
        <w:rPr>
          <w:rFonts w:cs="Calibri"/>
          <w:lang w:val="en-US" w:eastAsia="en-ZA"/>
        </w:rPr>
        <w:t>the generation of renewable energy</w:t>
      </w:r>
      <w:r w:rsidRPr="000F0CEA">
        <w:rPr>
          <w:rFonts w:cs="Calibri"/>
          <w:lang w:val="en-US" w:eastAsia="en-ZA"/>
        </w:rPr>
        <w:t xml:space="preserve">. In August 2011, the Government launched the Renewable Energy </w:t>
      </w:r>
      <w:r>
        <w:rPr>
          <w:rFonts w:cs="Calibri"/>
          <w:lang w:val="en-US" w:eastAsia="en-ZA"/>
        </w:rPr>
        <w:t xml:space="preserve">Programme under which </w:t>
      </w:r>
      <w:r w:rsidRPr="000F0CEA">
        <w:rPr>
          <w:rFonts w:cs="Calibri"/>
          <w:lang w:val="en-US" w:eastAsia="en-ZA"/>
        </w:rPr>
        <w:t xml:space="preserve">bids were invited from independent power producers to acquire the first 3 725 MW of renewable energy. </w:t>
      </w:r>
      <w:r>
        <w:rPr>
          <w:rFonts w:cs="Calibri"/>
          <w:lang w:val="en-US" w:eastAsia="en-ZA"/>
        </w:rPr>
        <w:t xml:space="preserve">Being in possession of an Environmental Authorisation (EA) was a pre-bid requirement. This requirement doubled the number of EA applications received by the Department of Environmental Affairs over the first five years of the programme, refer to </w:t>
      </w:r>
      <w:r w:rsidRPr="00AF3A65">
        <w:rPr>
          <w:rFonts w:cs="Calibri"/>
          <w:lang w:val="en-US" w:eastAsia="en-ZA"/>
        </w:rPr>
        <w:t>Table 2.</w:t>
      </w:r>
      <w:r>
        <w:rPr>
          <w:rFonts w:cs="Calibri"/>
          <w:lang w:val="en-US" w:eastAsia="en-ZA"/>
        </w:rPr>
        <w:t xml:space="preserve"> Despite the increase in workload only 34% of approved projects were bid and less than 10% were awarded preferred bidder status. In order to improve on efficiency, the Department of Environmental Affairs (DEA) initiated a Strategic Environmental Assessments (SEAs) to identify Renewable Energy Development Zones (REDZs</w:t>
      </w:r>
      <w:r w:rsidRPr="00202536">
        <w:rPr>
          <w:rFonts w:cs="Calibri"/>
          <w:lang w:val="en-US" w:eastAsia="en-ZA"/>
        </w:rPr>
        <w:t xml:space="preserve">) in </w:t>
      </w:r>
      <w:r>
        <w:rPr>
          <w:rFonts w:cs="Calibri"/>
          <w:lang w:val="en-US" w:eastAsia="en-ZA"/>
        </w:rPr>
        <w:t>which the authoris</w:t>
      </w:r>
      <w:r w:rsidRPr="00202536">
        <w:rPr>
          <w:rFonts w:cs="Calibri"/>
          <w:lang w:val="en-US" w:eastAsia="en-ZA"/>
        </w:rPr>
        <w:t xml:space="preserve">ation requirements </w:t>
      </w:r>
      <w:r>
        <w:rPr>
          <w:rFonts w:cs="Calibri"/>
          <w:lang w:val="en-US" w:eastAsia="en-ZA"/>
        </w:rPr>
        <w:t xml:space="preserve">could be </w:t>
      </w:r>
      <w:r w:rsidRPr="00202536">
        <w:rPr>
          <w:rFonts w:cs="Calibri"/>
          <w:lang w:val="en-US" w:eastAsia="en-ZA"/>
        </w:rPr>
        <w:t>streamlined.</w:t>
      </w:r>
      <w:r>
        <w:rPr>
          <w:rFonts w:cs="Calibri"/>
          <w:sz w:val="28"/>
          <w:szCs w:val="28"/>
          <w:lang w:val="en-US" w:eastAsia="en-ZA"/>
        </w:rPr>
        <w:t xml:space="preserve"> </w:t>
      </w:r>
      <w:r>
        <w:rPr>
          <w:rFonts w:cs="Calibri"/>
          <w:lang w:val="en-US" w:eastAsia="en-ZA"/>
        </w:rPr>
        <w:t>The SEA is complete</w:t>
      </w:r>
      <w:r w:rsidRPr="00B939AA">
        <w:rPr>
          <w:rFonts w:cs="Calibri"/>
          <w:lang w:val="en-US" w:eastAsia="en-ZA"/>
        </w:rPr>
        <w:t xml:space="preserve"> and the outputs including geographical areas in which environmental sensitivities have been pre-determined, are to be implemented through a spatially enabled </w:t>
      </w:r>
      <w:r>
        <w:rPr>
          <w:rFonts w:cs="Calibri"/>
          <w:lang w:val="en-US" w:eastAsia="en-ZA"/>
        </w:rPr>
        <w:t>pre-</w:t>
      </w:r>
      <w:r w:rsidRPr="00B939AA">
        <w:rPr>
          <w:rFonts w:cs="Calibri"/>
          <w:lang w:val="en-US" w:eastAsia="en-ZA"/>
        </w:rPr>
        <w:t xml:space="preserve">screening tool. </w:t>
      </w:r>
      <w:r>
        <w:rPr>
          <w:rFonts w:cs="Calibri"/>
          <w:lang w:val="en-US" w:eastAsia="en-ZA"/>
        </w:rPr>
        <w:t xml:space="preserve">By using the SEA methodology, </w:t>
      </w:r>
      <w:r w:rsidRPr="00B939AA">
        <w:rPr>
          <w:rFonts w:cs="Calibri"/>
          <w:lang w:val="en-US" w:eastAsia="en-ZA"/>
        </w:rPr>
        <w:t xml:space="preserve">the ability of spatial analysis to practically implement an impact avoidance hierarchy and </w:t>
      </w:r>
      <w:r>
        <w:rPr>
          <w:rFonts w:cs="Calibri"/>
          <w:lang w:val="en-US" w:eastAsia="en-ZA"/>
        </w:rPr>
        <w:t>to pre-determine fatal flaws has been identified. This in turn can reduce the environmental risk and allow for post bid environmental authorizations for renewable energy projects which will reduce the the number of EAs required to the number of preferred bidders, i.e. 10% of the current number approved.</w:t>
      </w:r>
    </w:p>
    <w:p w:rsidR="00AE3F68" w:rsidRDefault="00AE3F68" w:rsidP="000F6FA8">
      <w:pPr>
        <w:pStyle w:val="NoSpacing"/>
        <w:rPr>
          <w:rFonts w:cs="Calibri"/>
          <w:lang w:val="en-US" w:eastAsia="en-ZA"/>
        </w:rPr>
      </w:pPr>
    </w:p>
    <w:p w:rsidR="00AE3F68" w:rsidRDefault="00AE3F68" w:rsidP="000F6FA8">
      <w:pPr>
        <w:pStyle w:val="NoSpacing"/>
        <w:rPr>
          <w:rFonts w:cs="Calibri"/>
          <w:b/>
          <w:lang w:val="en-US" w:eastAsia="en-ZA"/>
        </w:rPr>
      </w:pPr>
      <w:r w:rsidRPr="00AD5FB1">
        <w:rPr>
          <w:rFonts w:cs="Calibri"/>
          <w:b/>
          <w:lang w:val="en-US" w:eastAsia="en-ZA"/>
        </w:rPr>
        <w:t xml:space="preserve">Introduction  </w:t>
      </w:r>
    </w:p>
    <w:p w:rsidR="00AE3F68" w:rsidRDefault="00AE3F68" w:rsidP="000F6FA8">
      <w:pPr>
        <w:pStyle w:val="NoSpacing"/>
        <w:rPr>
          <w:rFonts w:cs="Calibri"/>
          <w:lang w:val="en-US" w:eastAsia="en-ZA"/>
        </w:rPr>
      </w:pPr>
    </w:p>
    <w:p w:rsidR="00AE3F68" w:rsidRDefault="00AE3F68" w:rsidP="00B861F0">
      <w:pPr>
        <w:pStyle w:val="BodyText"/>
        <w:spacing w:after="0" w:line="240" w:lineRule="auto"/>
        <w:jc w:val="both"/>
      </w:pPr>
      <w:r w:rsidRPr="00AF3A65">
        <w:rPr>
          <w:color w:val="000000"/>
        </w:rPr>
        <w:t xml:space="preserve">In order to reduce </w:t>
      </w:r>
      <w:smartTag w:uri="urn:schemas-microsoft-com:office:smarttags" w:element="City">
        <w:r w:rsidRPr="00AF3A65">
          <w:rPr>
            <w:color w:val="000000"/>
          </w:rPr>
          <w:t>South Africa</w:t>
        </w:r>
      </w:smartTag>
      <w:r w:rsidRPr="00AF3A65">
        <w:rPr>
          <w:color w:val="000000"/>
        </w:rPr>
        <w:t xml:space="preserve">’s dependence on coal in a carbon constrained global economy, government </w:t>
      </w:r>
      <w:r w:rsidRPr="00AF3A65">
        <w:rPr>
          <w:color w:val="000000"/>
          <w:lang w:eastAsia="en-ZA"/>
        </w:rPr>
        <w:t>identified the need to diversify the country’s energy choices as a priority</w:t>
      </w:r>
      <w:r w:rsidRPr="00AF3A65">
        <w:rPr>
          <w:color w:val="000000"/>
        </w:rPr>
        <w:t xml:space="preserve"> (National Planning Commission, 2011). The energy mix anticipated a 17.8 GW contribution from renewable energy over the 2010-2030 period </w:t>
      </w:r>
      <w:r w:rsidRPr="00AF3A65">
        <w:rPr>
          <w:noProof/>
          <w:color w:val="000000"/>
        </w:rPr>
        <w:t>(Department of Energy, 2011)</w:t>
      </w:r>
      <w:r w:rsidRPr="00AF3A65">
        <w:rPr>
          <w:color w:val="000000"/>
        </w:rPr>
        <w:t xml:space="preserve">. This </w:t>
      </w:r>
      <w:r>
        <w:t xml:space="preserve">contribution was to be procured through the Renewable Energy Independent Power Producers programme (REI4P). Being in possession of a </w:t>
      </w:r>
      <w:r w:rsidRPr="00473CEE">
        <w:t xml:space="preserve">positive </w:t>
      </w:r>
      <w:r>
        <w:t>EA was a pre-bid requirement. An examination of the environmental authorisation application statistics for renewable energy projects received by the DEA, identified that this requirement</w:t>
      </w:r>
      <w:r w:rsidRPr="00473CEE">
        <w:t xml:space="preserve"> </w:t>
      </w:r>
      <w:r>
        <w:t xml:space="preserve">doubled the volume of </w:t>
      </w:r>
      <w:r w:rsidRPr="00473CEE">
        <w:t>applications received</w:t>
      </w:r>
      <w:r>
        <w:t xml:space="preserve"> during the first four years of the programme. </w:t>
      </w:r>
      <w:r>
        <w:rPr>
          <w:lang w:eastAsia="en-ZA"/>
        </w:rPr>
        <w:t xml:space="preserve">Further, an evaluation of four wind environmental impact assessments (EIAs), indicated that the EIAs submitted lack detail which in turn compromises the objectives of the EIA process and reduces its ability to identify environmental risk and fatally flawed projects. These two issues are </w:t>
      </w:r>
      <w:r w:rsidRPr="00473CEE">
        <w:rPr>
          <w:lang w:eastAsia="en-ZA"/>
        </w:rPr>
        <w:t>unintended consequences of this otherwise very successful programme.</w:t>
      </w:r>
      <w:r>
        <w:rPr>
          <w:lang w:eastAsia="en-ZA"/>
        </w:rPr>
        <w:t xml:space="preserve"> </w:t>
      </w:r>
      <w:r>
        <w:t xml:space="preserve">In order to reduce these inefficiencies, the DEA initiated a Strategic Assessment processes to identify </w:t>
      </w:r>
      <w:r w:rsidRPr="00356F85">
        <w:t xml:space="preserve">geographical </w:t>
      </w:r>
      <w:r>
        <w:t xml:space="preserve">areas in which environmental sensitivities related to renewable energy technologies can be pre-assess through a spatial analysis of information. </w:t>
      </w:r>
    </w:p>
    <w:p w:rsidR="00AE3F68" w:rsidRDefault="00AE3F68" w:rsidP="00B861F0">
      <w:pPr>
        <w:pStyle w:val="BodyText"/>
        <w:spacing w:after="0" w:line="240" w:lineRule="auto"/>
        <w:jc w:val="both"/>
      </w:pPr>
    </w:p>
    <w:p w:rsidR="00AE3F68" w:rsidRDefault="00AE3F68" w:rsidP="00B861F0">
      <w:pPr>
        <w:pStyle w:val="BodyText"/>
        <w:spacing w:after="0" w:line="240" w:lineRule="auto"/>
        <w:jc w:val="both"/>
        <w:rPr>
          <w:lang w:eastAsia="en-ZA"/>
        </w:rPr>
      </w:pPr>
      <w:r>
        <w:t xml:space="preserve">This paper will firstly identify if the pre-assessment and streamlined process achieved by the use of a Strategic Environmental Assessment process could reduce the possible environmental fatal flaws and the review timeframes to a point which would allow for post-bid EAs. In so doing this approach and its implementation could address both unintended consequences of the REI4P identified above. </w:t>
      </w:r>
    </w:p>
    <w:p w:rsidR="00AE3F68" w:rsidRDefault="00AE3F68" w:rsidP="00B861F0">
      <w:pPr>
        <w:pStyle w:val="bullets"/>
        <w:numPr>
          <w:ilvl w:val="0"/>
          <w:numId w:val="0"/>
        </w:numPr>
        <w:spacing w:line="240" w:lineRule="auto"/>
        <w:ind w:left="340" w:hanging="340"/>
      </w:pPr>
    </w:p>
    <w:p w:rsidR="00AE3F68" w:rsidRPr="00976F5E" w:rsidRDefault="00AE3F68" w:rsidP="00B861F0">
      <w:pPr>
        <w:pStyle w:val="BodyText"/>
        <w:spacing w:after="0" w:line="240" w:lineRule="auto"/>
        <w:rPr>
          <w:b/>
          <w:lang w:eastAsia="en-ZA"/>
        </w:rPr>
      </w:pPr>
      <w:r w:rsidRPr="00976F5E">
        <w:rPr>
          <w:b/>
          <w:lang w:eastAsia="en-ZA"/>
        </w:rPr>
        <w:t xml:space="preserve">METHODOLOGY </w:t>
      </w:r>
    </w:p>
    <w:p w:rsidR="00AE3F68" w:rsidRDefault="00AE3F68" w:rsidP="00643504">
      <w:pPr>
        <w:pStyle w:val="BodyText"/>
        <w:spacing w:after="0" w:line="240" w:lineRule="auto"/>
        <w:jc w:val="both"/>
        <w:rPr>
          <w:lang w:eastAsia="en-ZA"/>
        </w:rPr>
      </w:pPr>
    </w:p>
    <w:p w:rsidR="00AE3F68" w:rsidRDefault="00AE3F68" w:rsidP="00643504">
      <w:pPr>
        <w:pStyle w:val="BodyText"/>
        <w:spacing w:after="0" w:line="240" w:lineRule="auto"/>
        <w:jc w:val="both"/>
        <w:rPr>
          <w:b/>
          <w:lang w:eastAsia="en-ZA"/>
        </w:rPr>
      </w:pPr>
      <w:r>
        <w:rPr>
          <w:b/>
          <w:lang w:eastAsia="en-ZA"/>
        </w:rPr>
        <w:t xml:space="preserve">Environmental Impact Assessment review </w:t>
      </w:r>
    </w:p>
    <w:p w:rsidR="00AE3F68" w:rsidRPr="00B178C9" w:rsidRDefault="00AE3F68" w:rsidP="00643504">
      <w:pPr>
        <w:pStyle w:val="BodyText"/>
        <w:spacing w:after="0" w:line="240" w:lineRule="auto"/>
        <w:jc w:val="both"/>
        <w:rPr>
          <w:b/>
          <w:lang w:eastAsia="en-ZA"/>
        </w:rPr>
      </w:pPr>
    </w:p>
    <w:p w:rsidR="00AE3F68" w:rsidRDefault="00AE3F68" w:rsidP="00855B61">
      <w:pPr>
        <w:pStyle w:val="BodyText"/>
        <w:spacing w:after="0" w:line="240" w:lineRule="auto"/>
        <w:jc w:val="both"/>
      </w:pPr>
      <w:r>
        <w:rPr>
          <w:lang w:eastAsia="en-ZA"/>
        </w:rPr>
        <w:t xml:space="preserve">A literature review was undertaken to identify generally accepted environmental impacts related to wind energy. Considering the outcomes of this review, four pre-bid wind energy EIAs were assessed to determine if the EIAs met the requirement as identified in the EIA regulations (D, Fischer, 2016) and considered the generally accepted issues. Table 1 </w:t>
      </w:r>
      <w:r w:rsidRPr="00473CEE">
        <w:t>provides a summary of the performance of the impact assessment phase of the review on</w:t>
      </w:r>
      <w:r>
        <w:t xml:space="preserve"> the</w:t>
      </w:r>
      <w:r w:rsidRPr="00473CEE">
        <w:t xml:space="preserve"> </w:t>
      </w:r>
      <w:r w:rsidRPr="00F34202">
        <w:rPr>
          <w:noProof/>
        </w:rPr>
        <w:t>effectiveness</w:t>
      </w:r>
      <w:r w:rsidRPr="00473CEE">
        <w:t xml:space="preserve"> of</w:t>
      </w:r>
      <w:r>
        <w:t xml:space="preserve"> an</w:t>
      </w:r>
      <w:r w:rsidRPr="00473CEE">
        <w:t xml:space="preserve"> EIA for wind energy facilities corresponding to the criteria adopted for the assessment</w:t>
      </w:r>
      <w:r>
        <w:t xml:space="preserve">. </w:t>
      </w:r>
    </w:p>
    <w:p w:rsidR="00AE3F68" w:rsidRDefault="00AE3F68" w:rsidP="00855B61">
      <w:pPr>
        <w:pStyle w:val="BodyText"/>
        <w:spacing w:after="0" w:line="240" w:lineRule="auto"/>
        <w:jc w:val="both"/>
      </w:pPr>
    </w:p>
    <w:p w:rsidR="00AE3F68" w:rsidRDefault="00AE3F68" w:rsidP="00B178C9">
      <w:pPr>
        <w:pStyle w:val="BodyText"/>
        <w:spacing w:after="0" w:line="240" w:lineRule="auto"/>
        <w:rPr>
          <w:b/>
          <w:lang w:eastAsia="en-ZA"/>
        </w:rPr>
      </w:pPr>
      <w:r>
        <w:rPr>
          <w:b/>
          <w:lang w:eastAsia="en-ZA"/>
        </w:rPr>
        <w:t>SEA approach and the screening tool</w:t>
      </w:r>
    </w:p>
    <w:p w:rsidR="00AE3F68" w:rsidRDefault="00AE3F68" w:rsidP="00B178C9">
      <w:pPr>
        <w:pStyle w:val="BodyText"/>
        <w:spacing w:after="0" w:line="240" w:lineRule="auto"/>
        <w:rPr>
          <w:b/>
          <w:lang w:eastAsia="en-ZA"/>
        </w:rPr>
      </w:pPr>
      <w:r>
        <w:rPr>
          <w:b/>
          <w:lang w:eastAsia="en-ZA"/>
        </w:rPr>
        <w:t xml:space="preserve"> </w:t>
      </w:r>
    </w:p>
    <w:p w:rsidR="00AE3F68" w:rsidRDefault="00AE3F68" w:rsidP="00D35472">
      <w:pPr>
        <w:pStyle w:val="BodyText"/>
        <w:spacing w:after="0" w:line="240" w:lineRule="auto"/>
        <w:jc w:val="both"/>
      </w:pPr>
      <w:r>
        <w:t xml:space="preserve">To develop the Strategic Environmental Assessment (SEA) the renewable energy applications received and approved from the initiation of the REI4P were mapped. A positive and negative mapping process was then undertaken. The positive mapping identified the significant wind and solar resources, and the negative mapping identified areas of significant environmental sensitivities. Through this process, focus areas were identified for consultation with provincial and local municipalities to identify their development priorities which were converted to “pull factors”. Certain “push factors” were also identified and weighted, for example distance from transmission lines and sub-stations. The results of this process were provided to the renewable energy industry and they were requested to identify areas in which they saw renewable energy development in the next 5, 10 and 15 years. The results of this analysis identified focus areas. Specialist studies, based on desk top analysis and in some cases field work, were then undertaken in these areas to identify more specific environmental sensitivities. The result was a four tier sensitivity map which further refined the focus areas and resulted in the Renewable Energy Development Zones. An environmental impact assessment protocol which identified the further environmental assessment required in each of the sensitivity areas was then developed </w:t>
      </w:r>
      <w:r w:rsidRPr="00AF3A65">
        <w:t>(Department of Environmental Affairs, 2015). The</w:t>
      </w:r>
      <w:r>
        <w:t xml:space="preserve"> four tier environmental sensitivity map was loaded onto the spatially enable on line screening tool which was being developed by the DEA to support all environmental impacts assessment applications.</w:t>
      </w:r>
    </w:p>
    <w:p w:rsidR="00AE3F68" w:rsidRDefault="00AE3F68" w:rsidP="00D35472">
      <w:pPr>
        <w:pStyle w:val="BodyText"/>
        <w:spacing w:after="0" w:line="240" w:lineRule="auto"/>
        <w:jc w:val="both"/>
        <w:rPr>
          <w:b/>
        </w:rPr>
      </w:pPr>
    </w:p>
    <w:p w:rsidR="00AE3F68" w:rsidRDefault="00AE3F68" w:rsidP="00D35472">
      <w:pPr>
        <w:pStyle w:val="BodyText"/>
        <w:spacing w:after="0" w:line="240" w:lineRule="auto"/>
        <w:jc w:val="both"/>
        <w:rPr>
          <w:b/>
        </w:rPr>
      </w:pPr>
      <w:r w:rsidRPr="004E3D52">
        <w:rPr>
          <w:b/>
        </w:rPr>
        <w:t>Outcomes of the EIA review</w:t>
      </w:r>
    </w:p>
    <w:p w:rsidR="00AE3F68" w:rsidRDefault="00AE3F68" w:rsidP="00D35472">
      <w:pPr>
        <w:pStyle w:val="BodyText"/>
        <w:spacing w:after="0" w:line="240" w:lineRule="auto"/>
        <w:jc w:val="both"/>
      </w:pPr>
      <w:r w:rsidRPr="004E3D52">
        <w:rPr>
          <w:b/>
        </w:rPr>
        <w:t xml:space="preserve">  </w:t>
      </w:r>
    </w:p>
    <w:p w:rsidR="00AE3F68" w:rsidRDefault="00AE3F68" w:rsidP="002D4A41">
      <w:pPr>
        <w:pStyle w:val="BodyText"/>
        <w:spacing w:after="0" w:line="240" w:lineRule="auto"/>
        <w:jc w:val="both"/>
      </w:pPr>
      <w:r>
        <w:t xml:space="preserve">The Environmental Assessment Practitioner authoring the four EIAs reviewed, indicated that the </w:t>
      </w:r>
      <w:r w:rsidRPr="00473CEE">
        <w:t xml:space="preserve">information on which the EIA was </w:t>
      </w:r>
      <w:r>
        <w:t xml:space="preserve">based </w:t>
      </w:r>
      <w:r w:rsidRPr="00473CEE">
        <w:t>was inadequate and the project scope would change</w:t>
      </w:r>
      <w:r>
        <w:t xml:space="preserve">. This resulted in aspects of the same project being reviewed by DEA on </w:t>
      </w:r>
      <w:r w:rsidRPr="00473CEE">
        <w:t xml:space="preserve">seven separate occasions, excluding the first review. </w:t>
      </w:r>
      <w:r>
        <w:t xml:space="preserve">The lack of detailed information similarly impacts on the ability of the EIA to identify and mitigate environmental fatal flaws. The following factors contribute refer to Table 1: </w:t>
      </w:r>
    </w:p>
    <w:p w:rsidR="00AE3F68" w:rsidRDefault="00AE3F68" w:rsidP="002D4A41">
      <w:pPr>
        <w:pStyle w:val="BodyText"/>
        <w:numPr>
          <w:ilvl w:val="0"/>
          <w:numId w:val="18"/>
        </w:numPr>
        <w:spacing w:after="0" w:line="240" w:lineRule="auto"/>
        <w:jc w:val="both"/>
      </w:pPr>
      <w:r w:rsidRPr="005C125E">
        <w:rPr>
          <w:color w:val="000000"/>
        </w:rPr>
        <w:t>S</w:t>
      </w:r>
      <w:r w:rsidRPr="005C125E">
        <w:rPr>
          <w:noProof/>
          <w:color w:val="000000"/>
        </w:rPr>
        <w:t>pecialists</w:t>
      </w:r>
      <w:r w:rsidRPr="005C125E">
        <w:rPr>
          <w:color w:val="000000"/>
        </w:rPr>
        <w:t xml:space="preserve"> conduct studies that are </w:t>
      </w:r>
      <w:r w:rsidRPr="005C125E">
        <w:rPr>
          <w:noProof/>
          <w:color w:val="000000"/>
        </w:rPr>
        <w:t>on occasion</w:t>
      </w:r>
      <w:r>
        <w:rPr>
          <w:noProof/>
          <w:color w:val="000000"/>
        </w:rPr>
        <w:t xml:space="preserve"> </w:t>
      </w:r>
      <w:r w:rsidRPr="005C125E">
        <w:t xml:space="preserve">inadequate to provide credible assessments. Specialists rationalise these inadequacies by including </w:t>
      </w:r>
      <w:r>
        <w:t xml:space="preserve">disclaimers in their work. </w:t>
      </w:r>
      <w:r w:rsidRPr="005C125E">
        <w:t xml:space="preserve">This practice </w:t>
      </w:r>
      <w:r>
        <w:t xml:space="preserve">can </w:t>
      </w:r>
      <w:r w:rsidRPr="005C125E">
        <w:t>resu</w:t>
      </w:r>
      <w:r>
        <w:t>lt in fatal flaws emerging</w:t>
      </w:r>
      <w:r w:rsidRPr="005C125E">
        <w:t xml:space="preserve"> at construction. </w:t>
      </w:r>
    </w:p>
    <w:p w:rsidR="00AE3F68" w:rsidRPr="007F51F8" w:rsidRDefault="00AE3F68" w:rsidP="002D4A41">
      <w:pPr>
        <w:pStyle w:val="BodyText"/>
        <w:numPr>
          <w:ilvl w:val="0"/>
          <w:numId w:val="18"/>
        </w:numPr>
        <w:spacing w:after="0" w:line="240" w:lineRule="auto"/>
        <w:jc w:val="both"/>
      </w:pPr>
      <w:r>
        <w:rPr>
          <w:color w:val="000000"/>
        </w:rPr>
        <w:t xml:space="preserve">Although the key impacts are identified they are not well assessed and the specialists and practitioners on average do not provide concluding statements on the acceptability of impacts to assist decision making.  </w:t>
      </w:r>
    </w:p>
    <w:p w:rsidR="00AE3F68" w:rsidRDefault="00AE3F68" w:rsidP="002D4A41">
      <w:pPr>
        <w:pStyle w:val="BodyText"/>
        <w:numPr>
          <w:ilvl w:val="0"/>
          <w:numId w:val="18"/>
        </w:numPr>
        <w:spacing w:after="0" w:line="240" w:lineRule="auto"/>
        <w:jc w:val="both"/>
      </w:pPr>
      <w:r>
        <w:t xml:space="preserve">The identification of adequate mitigation measures is not well executed nor is the transferring of the mitigation measures into EMPRs </w:t>
      </w:r>
    </w:p>
    <w:p w:rsidR="00AE3F68" w:rsidRPr="00EE2603" w:rsidRDefault="00AE3F68" w:rsidP="007F51F8">
      <w:pPr>
        <w:pStyle w:val="BodyText"/>
        <w:numPr>
          <w:ilvl w:val="0"/>
          <w:numId w:val="18"/>
        </w:numPr>
        <w:spacing w:after="0" w:line="240" w:lineRule="auto"/>
        <w:jc w:val="both"/>
      </w:pPr>
      <w:r>
        <w:lastRenderedPageBreak/>
        <w:t xml:space="preserve">Due to to the lack of detailed information the level to which site specific EIAs could provide more detailed assessments that that produced through a geographical assessment based on a SEA approach was not convincingly demonstrated. Although site specific information was generated on noise, bird and bat activity and visual impacts, these assessments were undertaken on preliminary turbine layouts that changed significantly through the development of the projects. Therefore, although the level of site-specific information generated was high, at 57%, the ultimate value of that information was very low. </w:t>
      </w:r>
    </w:p>
    <w:p w:rsidR="00AE3F68" w:rsidRPr="00473CEE" w:rsidRDefault="00AE3F68" w:rsidP="00855B61">
      <w:pPr>
        <w:pStyle w:val="CaptionTable"/>
        <w:framePr w:wrap="around" w:hAnchor="page" w:x="1529" w:y="330"/>
      </w:pPr>
      <w:r w:rsidRPr="00473CEE">
        <w:t xml:space="preserve">Table </w:t>
      </w:r>
      <w:r w:rsidR="00664BD1">
        <w:fldChar w:fldCharType="begin"/>
      </w:r>
      <w:r w:rsidR="00664BD1">
        <w:instrText xml:space="preserve"> SEQ Table \* ARABIC </w:instrText>
      </w:r>
      <w:r w:rsidR="00664BD1">
        <w:fldChar w:fldCharType="separate"/>
      </w:r>
      <w:r>
        <w:rPr>
          <w:noProof/>
        </w:rPr>
        <w:t>1</w:t>
      </w:r>
      <w:r w:rsidR="00664BD1">
        <w:rPr>
          <w:noProof/>
        </w:rPr>
        <w:fldChar w:fldCharType="end"/>
      </w:r>
      <w:r w:rsidRPr="00473CEE">
        <w:t>: Outcome of the impact assessment phase of the effectiveness review for wind energy facilities in SA</w:t>
      </w:r>
    </w:p>
    <w:p w:rsidR="00AE3F68" w:rsidRPr="00473CEE" w:rsidRDefault="00AE3F68" w:rsidP="000828DB">
      <w:pPr>
        <w:pStyle w:val="CaptionTablesourcecitationfollows"/>
        <w:framePr w:wrap="around" w:hAnchor="page" w:x="1517" w:y="543"/>
      </w:pPr>
      <w:r w:rsidRPr="00473CEE">
        <w:t>Source</w:t>
      </w:r>
      <w:r w:rsidRPr="00AF3A65">
        <w:t>:   D Fischer, 2016</w:t>
      </w:r>
      <w:r>
        <w:t xml:space="preserve">                            </w:t>
      </w:r>
      <w:r w:rsidRPr="00AF3A65">
        <w:rPr>
          <w:color w:val="FFFFFF"/>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1165"/>
        <w:gridCol w:w="1164"/>
        <w:gridCol w:w="1164"/>
        <w:gridCol w:w="1168"/>
        <w:gridCol w:w="1164"/>
      </w:tblGrid>
      <w:tr w:rsidR="00AE3F68" w:rsidRPr="00473CEE" w:rsidTr="00FD3C5E">
        <w:trPr>
          <w:cantSplit/>
          <w:trHeight w:val="352"/>
        </w:trPr>
        <w:tc>
          <w:tcPr>
            <w:tcW w:w="1958" w:type="pct"/>
            <w:shd w:val="clear" w:color="auto" w:fill="C2D69B"/>
          </w:tcPr>
          <w:p w:rsidR="00AE3F68" w:rsidRPr="000828DB" w:rsidRDefault="00AE3F68" w:rsidP="00FD3C5E">
            <w:pPr>
              <w:pStyle w:val="BodyText"/>
              <w:spacing w:after="0" w:line="240" w:lineRule="auto"/>
              <w:rPr>
                <w:sz w:val="15"/>
                <w:szCs w:val="15"/>
              </w:rPr>
            </w:pPr>
          </w:p>
        </w:tc>
        <w:tc>
          <w:tcPr>
            <w:tcW w:w="608" w:type="pct"/>
            <w:shd w:val="clear" w:color="auto" w:fill="C2D69B"/>
            <w:vAlign w:val="center"/>
          </w:tcPr>
          <w:p w:rsidR="00AE3F68" w:rsidRPr="000828DB" w:rsidRDefault="00AE3F68" w:rsidP="00FD3C5E">
            <w:pPr>
              <w:pStyle w:val="BodyText"/>
              <w:spacing w:after="0" w:line="240" w:lineRule="auto"/>
              <w:ind w:left="-57" w:right="-57"/>
              <w:jc w:val="center"/>
              <w:rPr>
                <w:b/>
                <w:sz w:val="15"/>
                <w:szCs w:val="15"/>
              </w:rPr>
            </w:pPr>
            <w:r w:rsidRPr="000828DB">
              <w:rPr>
                <w:b/>
                <w:sz w:val="15"/>
                <w:szCs w:val="15"/>
              </w:rPr>
              <w:t>Case study 1</w:t>
            </w:r>
          </w:p>
        </w:tc>
        <w:tc>
          <w:tcPr>
            <w:tcW w:w="608" w:type="pct"/>
            <w:shd w:val="clear" w:color="auto" w:fill="C2D69B"/>
            <w:vAlign w:val="center"/>
          </w:tcPr>
          <w:p w:rsidR="00AE3F68" w:rsidRPr="000828DB" w:rsidRDefault="00AE3F68" w:rsidP="00FD3C5E">
            <w:pPr>
              <w:pStyle w:val="BodyText"/>
              <w:spacing w:after="0" w:line="240" w:lineRule="auto"/>
              <w:ind w:left="-57" w:right="-57"/>
              <w:jc w:val="center"/>
              <w:rPr>
                <w:b/>
                <w:sz w:val="15"/>
                <w:szCs w:val="15"/>
              </w:rPr>
            </w:pPr>
            <w:r w:rsidRPr="000828DB">
              <w:rPr>
                <w:b/>
                <w:sz w:val="15"/>
                <w:szCs w:val="15"/>
              </w:rPr>
              <w:t>Case study 2</w:t>
            </w:r>
          </w:p>
        </w:tc>
        <w:tc>
          <w:tcPr>
            <w:tcW w:w="608" w:type="pct"/>
            <w:shd w:val="clear" w:color="auto" w:fill="C2D69B"/>
            <w:vAlign w:val="center"/>
          </w:tcPr>
          <w:p w:rsidR="00AE3F68" w:rsidRPr="000828DB" w:rsidRDefault="00AE3F68" w:rsidP="00FD3C5E">
            <w:pPr>
              <w:pStyle w:val="BodyText"/>
              <w:spacing w:after="0" w:line="240" w:lineRule="auto"/>
              <w:ind w:left="-57" w:right="-57"/>
              <w:jc w:val="center"/>
              <w:rPr>
                <w:b/>
                <w:sz w:val="15"/>
                <w:szCs w:val="15"/>
              </w:rPr>
            </w:pPr>
            <w:r w:rsidRPr="000828DB">
              <w:rPr>
                <w:b/>
                <w:sz w:val="15"/>
                <w:szCs w:val="15"/>
              </w:rPr>
              <w:t>Case study 3</w:t>
            </w:r>
          </w:p>
        </w:tc>
        <w:tc>
          <w:tcPr>
            <w:tcW w:w="609" w:type="pct"/>
            <w:shd w:val="clear" w:color="auto" w:fill="C2D69B"/>
            <w:vAlign w:val="center"/>
          </w:tcPr>
          <w:p w:rsidR="00AE3F68" w:rsidRPr="000828DB" w:rsidRDefault="00AE3F68" w:rsidP="00FD3C5E">
            <w:pPr>
              <w:pStyle w:val="BodyText"/>
              <w:spacing w:after="0" w:line="240" w:lineRule="auto"/>
              <w:ind w:left="-57" w:right="-57"/>
              <w:jc w:val="center"/>
              <w:rPr>
                <w:b/>
                <w:sz w:val="15"/>
                <w:szCs w:val="15"/>
              </w:rPr>
            </w:pPr>
            <w:r w:rsidRPr="000828DB">
              <w:rPr>
                <w:b/>
                <w:sz w:val="15"/>
                <w:szCs w:val="15"/>
              </w:rPr>
              <w:t>Case study 4</w:t>
            </w:r>
          </w:p>
        </w:tc>
        <w:tc>
          <w:tcPr>
            <w:tcW w:w="608" w:type="pct"/>
            <w:shd w:val="clear" w:color="auto" w:fill="C2D69B"/>
            <w:vAlign w:val="center"/>
          </w:tcPr>
          <w:p w:rsidR="00AE3F68" w:rsidRPr="000828DB" w:rsidRDefault="00AE3F68" w:rsidP="00FD3C5E">
            <w:pPr>
              <w:pStyle w:val="BodyText"/>
              <w:spacing w:after="0" w:line="240" w:lineRule="auto"/>
              <w:jc w:val="center"/>
              <w:rPr>
                <w:b/>
                <w:sz w:val="15"/>
                <w:szCs w:val="15"/>
              </w:rPr>
            </w:pPr>
            <w:r w:rsidRPr="000828DB">
              <w:rPr>
                <w:b/>
                <w:sz w:val="15"/>
                <w:szCs w:val="15"/>
              </w:rPr>
              <w:t>Average</w:t>
            </w:r>
          </w:p>
        </w:tc>
      </w:tr>
      <w:tr w:rsidR="00AE3F68" w:rsidRPr="00473CEE" w:rsidTr="00FD3C5E">
        <w:trPr>
          <w:trHeight w:val="340"/>
        </w:trPr>
        <w:tc>
          <w:tcPr>
            <w:tcW w:w="1958" w:type="pct"/>
            <w:shd w:val="clear" w:color="auto" w:fill="D6E3BC"/>
            <w:vAlign w:val="center"/>
          </w:tcPr>
          <w:p w:rsidR="00AE3F68" w:rsidRPr="000828DB" w:rsidRDefault="00AE3F68" w:rsidP="00FD3C5E">
            <w:pPr>
              <w:pStyle w:val="BodyText"/>
              <w:spacing w:after="0" w:line="240" w:lineRule="auto"/>
              <w:rPr>
                <w:sz w:val="15"/>
                <w:szCs w:val="15"/>
              </w:rPr>
            </w:pPr>
            <w:r w:rsidRPr="000828DB">
              <w:rPr>
                <w:sz w:val="15"/>
                <w:szCs w:val="15"/>
              </w:rPr>
              <w:t xml:space="preserve">Timing of specialist studies </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50%</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25%</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50%</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25%</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38%</w:t>
            </w:r>
          </w:p>
        </w:tc>
      </w:tr>
      <w:tr w:rsidR="00AE3F68" w:rsidRPr="00473CEE" w:rsidTr="00FD3C5E">
        <w:tc>
          <w:tcPr>
            <w:tcW w:w="1958" w:type="pct"/>
            <w:shd w:val="clear" w:color="auto" w:fill="D6E3BC"/>
            <w:vAlign w:val="center"/>
          </w:tcPr>
          <w:p w:rsidR="00AE3F68" w:rsidRPr="000828DB" w:rsidRDefault="00AE3F68" w:rsidP="00FD3C5E">
            <w:pPr>
              <w:pStyle w:val="BodyText"/>
              <w:spacing w:after="0" w:line="240" w:lineRule="auto"/>
              <w:rPr>
                <w:sz w:val="15"/>
                <w:szCs w:val="15"/>
              </w:rPr>
            </w:pPr>
            <w:r w:rsidRPr="000828DB">
              <w:rPr>
                <w:sz w:val="15"/>
                <w:szCs w:val="15"/>
              </w:rPr>
              <w:t xml:space="preserve">Identification of key impacts associated with wind energy technologies identified through the literature review; </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81%</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81%</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81%</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71%</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78.5%</w:t>
            </w:r>
          </w:p>
        </w:tc>
      </w:tr>
      <w:tr w:rsidR="00AE3F68" w:rsidRPr="00473CEE" w:rsidTr="00FD3C5E">
        <w:trPr>
          <w:trHeight w:val="340"/>
        </w:trPr>
        <w:tc>
          <w:tcPr>
            <w:tcW w:w="1958" w:type="pct"/>
            <w:shd w:val="clear" w:color="auto" w:fill="D6E3BC"/>
            <w:vAlign w:val="center"/>
          </w:tcPr>
          <w:p w:rsidR="00AE3F68" w:rsidRPr="000828DB" w:rsidRDefault="00AE3F68" w:rsidP="00FD3C5E">
            <w:pPr>
              <w:pStyle w:val="BodyText"/>
              <w:spacing w:after="0" w:line="240" w:lineRule="auto"/>
              <w:rPr>
                <w:sz w:val="15"/>
                <w:szCs w:val="15"/>
              </w:rPr>
            </w:pPr>
            <w:r w:rsidRPr="000828DB">
              <w:rPr>
                <w:sz w:val="15"/>
                <w:szCs w:val="15"/>
              </w:rPr>
              <w:t xml:space="preserve">Assessment of impacts; </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72%</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55%</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63%</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72%</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65.5%</w:t>
            </w:r>
          </w:p>
        </w:tc>
      </w:tr>
      <w:tr w:rsidR="00AE3F68" w:rsidRPr="00473CEE" w:rsidTr="00FD3C5E">
        <w:trPr>
          <w:trHeight w:val="340"/>
        </w:trPr>
        <w:tc>
          <w:tcPr>
            <w:tcW w:w="1958" w:type="pct"/>
            <w:shd w:val="clear" w:color="auto" w:fill="D6E3BC"/>
            <w:vAlign w:val="center"/>
          </w:tcPr>
          <w:p w:rsidR="00AE3F68" w:rsidRPr="000828DB" w:rsidRDefault="00AE3F68" w:rsidP="00FD3C5E">
            <w:pPr>
              <w:pStyle w:val="BodyText"/>
              <w:spacing w:after="0" w:line="240" w:lineRule="auto"/>
              <w:rPr>
                <w:sz w:val="15"/>
                <w:szCs w:val="15"/>
              </w:rPr>
            </w:pPr>
            <w:r w:rsidRPr="000828DB">
              <w:rPr>
                <w:sz w:val="15"/>
                <w:szCs w:val="15"/>
              </w:rPr>
              <w:t>Environmental statement provided;</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63%</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63%</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54.5%</w:t>
            </w:r>
          </w:p>
        </w:tc>
      </w:tr>
      <w:tr w:rsidR="00AE3F68" w:rsidRPr="00473CEE" w:rsidTr="00FD3C5E">
        <w:tc>
          <w:tcPr>
            <w:tcW w:w="1958" w:type="pct"/>
            <w:shd w:val="clear" w:color="auto" w:fill="D6E3BC"/>
          </w:tcPr>
          <w:p w:rsidR="00AE3F68" w:rsidRPr="000828DB" w:rsidRDefault="00AE3F68" w:rsidP="00FD3C5E">
            <w:pPr>
              <w:pStyle w:val="BodyText"/>
              <w:spacing w:after="0" w:line="240" w:lineRule="auto"/>
              <w:rPr>
                <w:sz w:val="15"/>
                <w:szCs w:val="15"/>
              </w:rPr>
            </w:pPr>
            <w:r w:rsidRPr="000828DB">
              <w:rPr>
                <w:sz w:val="15"/>
                <w:szCs w:val="15"/>
              </w:rPr>
              <w:t xml:space="preserve">Identify and propose generally acceptable mitigation measures; </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63%</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27%</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27%</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55%</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43%</w:t>
            </w:r>
          </w:p>
        </w:tc>
      </w:tr>
      <w:tr w:rsidR="00AE3F68" w:rsidRPr="00473CEE" w:rsidTr="00FD3C5E">
        <w:tc>
          <w:tcPr>
            <w:tcW w:w="1958" w:type="pct"/>
            <w:shd w:val="clear" w:color="auto" w:fill="D6E3BC"/>
          </w:tcPr>
          <w:p w:rsidR="00AE3F68" w:rsidRPr="000828DB" w:rsidRDefault="00AE3F68" w:rsidP="00FD3C5E">
            <w:pPr>
              <w:pStyle w:val="BodyText"/>
              <w:spacing w:after="0" w:line="240" w:lineRule="auto"/>
              <w:rPr>
                <w:sz w:val="15"/>
                <w:szCs w:val="15"/>
              </w:rPr>
            </w:pPr>
            <w:r w:rsidRPr="000828DB">
              <w:rPr>
                <w:sz w:val="15"/>
                <w:szCs w:val="15"/>
              </w:rPr>
              <w:t>Site specific mitigation measures are transferred to the EMPR;</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55%</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36%</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r>
      <w:tr w:rsidR="00AE3F68" w:rsidRPr="00473CEE" w:rsidTr="00FD3C5E">
        <w:tc>
          <w:tcPr>
            <w:tcW w:w="1958" w:type="pct"/>
            <w:shd w:val="clear" w:color="auto" w:fill="D6E3BC"/>
          </w:tcPr>
          <w:p w:rsidR="00AE3F68" w:rsidRPr="000828DB" w:rsidRDefault="00AE3F68" w:rsidP="00FD3C5E">
            <w:pPr>
              <w:pStyle w:val="BodyText"/>
              <w:spacing w:after="0" w:line="240" w:lineRule="auto"/>
              <w:rPr>
                <w:sz w:val="15"/>
                <w:szCs w:val="15"/>
              </w:rPr>
            </w:pPr>
            <w:r w:rsidRPr="000828DB">
              <w:rPr>
                <w:sz w:val="15"/>
                <w:szCs w:val="15"/>
              </w:rPr>
              <w:t xml:space="preserve">Provide a level of site-specific assessment that exceeds that which could be achieved through a geographical assessment. </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81%</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55%</w:t>
            </w:r>
          </w:p>
        </w:tc>
        <w:tc>
          <w:tcPr>
            <w:tcW w:w="609"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46%</w:t>
            </w:r>
          </w:p>
        </w:tc>
        <w:tc>
          <w:tcPr>
            <w:tcW w:w="608" w:type="pct"/>
            <w:vAlign w:val="center"/>
          </w:tcPr>
          <w:p w:rsidR="00AE3F68" w:rsidRPr="000828DB" w:rsidRDefault="00AE3F68" w:rsidP="00FD3C5E">
            <w:pPr>
              <w:pStyle w:val="BodyText"/>
              <w:spacing w:after="0" w:line="240" w:lineRule="auto"/>
              <w:jc w:val="center"/>
              <w:rPr>
                <w:sz w:val="15"/>
                <w:szCs w:val="15"/>
              </w:rPr>
            </w:pPr>
            <w:r w:rsidRPr="000828DB">
              <w:rPr>
                <w:sz w:val="15"/>
                <w:szCs w:val="15"/>
              </w:rPr>
              <w:t>57%</w:t>
            </w:r>
          </w:p>
        </w:tc>
      </w:tr>
      <w:tr w:rsidR="00AE3F68" w:rsidRPr="00473CEE" w:rsidTr="00FD3C5E">
        <w:trPr>
          <w:cantSplit/>
          <w:trHeight w:val="340"/>
        </w:trPr>
        <w:tc>
          <w:tcPr>
            <w:tcW w:w="4392" w:type="pct"/>
            <w:gridSpan w:val="5"/>
            <w:shd w:val="clear" w:color="auto" w:fill="D6E3BC"/>
            <w:vAlign w:val="center"/>
          </w:tcPr>
          <w:p w:rsidR="00AE3F68" w:rsidRPr="000828DB" w:rsidRDefault="00AE3F68" w:rsidP="00FD3C5E">
            <w:pPr>
              <w:pStyle w:val="BodyText"/>
              <w:spacing w:after="0" w:line="240" w:lineRule="auto"/>
              <w:jc w:val="right"/>
              <w:rPr>
                <w:b/>
                <w:sz w:val="15"/>
                <w:szCs w:val="15"/>
              </w:rPr>
            </w:pPr>
            <w:r w:rsidRPr="000828DB">
              <w:rPr>
                <w:b/>
                <w:sz w:val="15"/>
                <w:szCs w:val="15"/>
              </w:rPr>
              <w:t>Overall average</w:t>
            </w:r>
          </w:p>
        </w:tc>
        <w:tc>
          <w:tcPr>
            <w:tcW w:w="608" w:type="pct"/>
            <w:vAlign w:val="center"/>
          </w:tcPr>
          <w:p w:rsidR="00AE3F68" w:rsidRPr="000828DB" w:rsidRDefault="00AE3F68" w:rsidP="00FD3C5E">
            <w:pPr>
              <w:pStyle w:val="BodyText"/>
              <w:spacing w:after="0" w:line="240" w:lineRule="auto"/>
              <w:jc w:val="center"/>
              <w:rPr>
                <w:b/>
                <w:sz w:val="15"/>
                <w:szCs w:val="15"/>
              </w:rPr>
            </w:pPr>
            <w:r w:rsidRPr="000828DB">
              <w:rPr>
                <w:b/>
                <w:sz w:val="15"/>
                <w:szCs w:val="15"/>
              </w:rPr>
              <w:t>55%</w:t>
            </w:r>
          </w:p>
        </w:tc>
      </w:tr>
    </w:tbl>
    <w:p w:rsidR="00AE3F68" w:rsidRDefault="00AE3F68" w:rsidP="00D876C1">
      <w:pPr>
        <w:pStyle w:val="BodyText"/>
      </w:pPr>
    </w:p>
    <w:p w:rsidR="00AE3F68" w:rsidRDefault="00AE3F68" w:rsidP="00430466">
      <w:pPr>
        <w:pStyle w:val="BodyText"/>
        <w:rPr>
          <w:b/>
        </w:rPr>
      </w:pPr>
      <w:r>
        <w:rPr>
          <w:b/>
        </w:rPr>
        <w:t>Outcome of the SEA process to identify Renewable Development Zones</w:t>
      </w:r>
    </w:p>
    <w:p w:rsidR="00AE3F68" w:rsidRDefault="00AE3F68" w:rsidP="009C0A24">
      <w:pPr>
        <w:pStyle w:val="BodyText"/>
        <w:spacing w:after="0" w:line="240" w:lineRule="auto"/>
        <w:jc w:val="both"/>
      </w:pPr>
      <w:r>
        <w:t xml:space="preserve">To reduce the </w:t>
      </w:r>
      <w:r w:rsidRPr="00473CEE">
        <w:t xml:space="preserve">number of </w:t>
      </w:r>
      <w:r>
        <w:t>applications received and to</w:t>
      </w:r>
      <w:r w:rsidRPr="00473CEE">
        <w:t xml:space="preserve"> instil confidence in the siting of renewable energy projects</w:t>
      </w:r>
      <w:r>
        <w:t xml:space="preserve">, the DEA decided to use a SEA process to identify areas suitable for the roll out of wind and solar PV energy in South Africa.  These areas were to be approved by Cabinet and would allow for wind and solar PV projects and their associated grid infrastructure to be exempted from requiring an environmental authorisation in terms of the EIA regulations </w:t>
      </w:r>
      <w:r w:rsidRPr="00AF3A65">
        <w:t>(Department of Environmental Affairs, 2012).</w:t>
      </w:r>
      <w:r>
        <w:t xml:space="preserve">  </w:t>
      </w:r>
    </w:p>
    <w:p w:rsidR="00AE3F68" w:rsidRDefault="00AE3F68" w:rsidP="009C0A24">
      <w:pPr>
        <w:pStyle w:val="BodyText"/>
        <w:spacing w:after="0" w:line="240" w:lineRule="auto"/>
        <w:jc w:val="both"/>
      </w:pPr>
    </w:p>
    <w:p w:rsidR="00AE3F68" w:rsidRDefault="00AE3F68" w:rsidP="009C0A24">
      <w:pPr>
        <w:pStyle w:val="BodyText"/>
        <w:spacing w:after="0" w:line="240" w:lineRule="auto"/>
        <w:jc w:val="both"/>
      </w:pPr>
      <w:r>
        <w:t xml:space="preserve">This objective was communicated to the renewable energy industry during the first consultation meeting. The industry was not supportive of the proposal and did not want to draw attention to their industry by being the first activity to be delisted though an SEA process. Although the identification of REDZs was later accepted and welcomed by the industry the delisting or exemption of the activity was not supported and the objective and level of expectation from the SEA had to be revised. </w:t>
      </w:r>
    </w:p>
    <w:p w:rsidR="00AE3F68" w:rsidRDefault="00AE3F68" w:rsidP="009C0A24">
      <w:pPr>
        <w:pStyle w:val="BodyText"/>
        <w:spacing w:after="0" w:line="240" w:lineRule="auto"/>
        <w:jc w:val="both"/>
      </w:pPr>
    </w:p>
    <w:p w:rsidR="00AE3F68" w:rsidRDefault="00AE3F68" w:rsidP="00AC0714">
      <w:pPr>
        <w:pStyle w:val="BodyText"/>
        <w:spacing w:after="0" w:line="240" w:lineRule="auto"/>
        <w:jc w:val="both"/>
      </w:pPr>
      <w:r>
        <w:t xml:space="preserve">What was achieved through the SEA, was the identification of eight REDZs which will be nationally recognised through gazetting. Due to the pre-assessment which was undertaken within the REDZs, the authorisation requirement to undertake a Scoping and Environmental Impact Assessment Report (S&amp;EIR) was lowered to a Basic Assessment (BA) with a corresponding reduction in timeframes from 300 to 147 days. The level of further site specific assessment was identified through the environmental protocols which were associated with the four tier sensitivity maps generated for various anticipated environmental impacts. The environmental sensitivities maps and the protocols were captured within the on-line spatially enabled pre-screening tool. </w:t>
      </w:r>
    </w:p>
    <w:p w:rsidR="00AE3F68" w:rsidRPr="00006605" w:rsidRDefault="00AE3F68" w:rsidP="00AC0714">
      <w:pPr>
        <w:pStyle w:val="BodyText"/>
        <w:spacing w:after="0" w:line="240" w:lineRule="auto"/>
        <w:jc w:val="both"/>
      </w:pPr>
    </w:p>
    <w:p w:rsidR="00AE3F68" w:rsidRDefault="00AE3F68" w:rsidP="00AC0714">
      <w:pPr>
        <w:pStyle w:val="BodyText"/>
        <w:spacing w:after="0" w:line="240" w:lineRule="auto"/>
        <w:jc w:val="both"/>
        <w:rPr>
          <w:b/>
        </w:rPr>
      </w:pPr>
      <w:r w:rsidRPr="00D876C1">
        <w:rPr>
          <w:b/>
        </w:rPr>
        <w:t xml:space="preserve">Discussion </w:t>
      </w:r>
      <w:r>
        <w:rPr>
          <w:b/>
        </w:rPr>
        <w:t>and conclusion</w:t>
      </w:r>
    </w:p>
    <w:p w:rsidR="00AE3F68" w:rsidRPr="00D876C1" w:rsidRDefault="00AE3F68" w:rsidP="00AC0714">
      <w:pPr>
        <w:pStyle w:val="BodyText"/>
        <w:spacing w:after="0" w:line="240" w:lineRule="auto"/>
        <w:jc w:val="both"/>
        <w:rPr>
          <w:b/>
        </w:rPr>
      </w:pPr>
    </w:p>
    <w:p w:rsidR="00AE3F68" w:rsidRDefault="00AE3F68" w:rsidP="0077164A">
      <w:pPr>
        <w:pStyle w:val="BodyText"/>
        <w:spacing w:after="0" w:line="240" w:lineRule="auto"/>
        <w:jc w:val="both"/>
        <w:rPr>
          <w:lang w:eastAsia="en-ZA"/>
        </w:rPr>
      </w:pPr>
      <w:r>
        <w:t xml:space="preserve">The linking of the competitive bid model used by the REI4P and site-specific environmental authorisations has posed a challenge to the traditional method of undertaking and reviewing EIAs. </w:t>
      </w:r>
      <w:r w:rsidRPr="00473CEE">
        <w:t xml:space="preserve">Due to the number of studies required and the extent of </w:t>
      </w:r>
      <w:r>
        <w:t>consultation required,</w:t>
      </w:r>
      <w:r w:rsidRPr="00473CEE">
        <w:t xml:space="preserve"> applying for E</w:t>
      </w:r>
      <w:r>
        <w:t xml:space="preserve">A </w:t>
      </w:r>
      <w:r w:rsidRPr="00473CEE">
        <w:t xml:space="preserve">is one of the first process that developers embark on. The EIA review identified that applications were submitted on average </w:t>
      </w:r>
      <w:r>
        <w:t xml:space="preserve">3 years prior to construction. </w:t>
      </w:r>
      <w:r w:rsidRPr="00473CEE">
        <w:t>The extended period between undertaking the EIA studies to</w:t>
      </w:r>
      <w:r>
        <w:t xml:space="preserve"> the</w:t>
      </w:r>
      <w:r w:rsidRPr="00473CEE">
        <w:t xml:space="preserve"> </w:t>
      </w:r>
      <w:r w:rsidRPr="00110381">
        <w:rPr>
          <w:noProof/>
        </w:rPr>
        <w:t>construction</w:t>
      </w:r>
      <w:r w:rsidRPr="00473CEE">
        <w:t xml:space="preserve"> of the project, together with the uncertainty of success in the </w:t>
      </w:r>
      <w:r>
        <w:t>bid</w:t>
      </w:r>
      <w:r w:rsidRPr="00473CEE">
        <w:t xml:space="preserve"> process, reduces the level of effort and expense the developer is willing to expend on the project pre-bid.</w:t>
      </w:r>
      <w:r>
        <w:t xml:space="preserve"> As a result, </w:t>
      </w:r>
      <w:r w:rsidRPr="00346BBC">
        <w:t>EIAs are submitted without detail on critical factors such as turbine layout</w:t>
      </w:r>
      <w:r>
        <w:t xml:space="preserve"> and technology</w:t>
      </w:r>
      <w:r w:rsidRPr="00346BBC">
        <w:t xml:space="preserve">, </w:t>
      </w:r>
      <w:r>
        <w:t>the size of the facility</w:t>
      </w:r>
      <w:r w:rsidRPr="00346BBC">
        <w:t>, grid connectivity and substation locations</w:t>
      </w:r>
      <w:r>
        <w:t>,</w:t>
      </w:r>
      <w:r w:rsidRPr="00346BBC">
        <w:t xml:space="preserve"> among others. This leads to the issuing of conditional E</w:t>
      </w:r>
      <w:r>
        <w:t xml:space="preserve">As </w:t>
      </w:r>
      <w:r w:rsidRPr="00346BBC">
        <w:t xml:space="preserve">and on average, 5.25 amendments and/or additional applications </w:t>
      </w:r>
      <w:r>
        <w:t xml:space="preserve">per project being </w:t>
      </w:r>
      <w:r w:rsidRPr="00346BBC">
        <w:t>submitted for approval prior to construction. This increases</w:t>
      </w:r>
      <w:r>
        <w:t xml:space="preserve"> the workload of the Department, t</w:t>
      </w:r>
      <w:r w:rsidRPr="00346BBC">
        <w:t>he regulatory burden</w:t>
      </w:r>
      <w:r>
        <w:t xml:space="preserve"> on</w:t>
      </w:r>
      <w:r w:rsidRPr="00346BBC">
        <w:t xml:space="preserve"> the applicant</w:t>
      </w:r>
      <w:r>
        <w:t xml:space="preserve"> and may </w:t>
      </w:r>
      <w:r w:rsidRPr="00346BBC">
        <w:t>also compromise the principles of informed, transparent and fair decision-making as the update information is not always subjected to consultation</w:t>
      </w:r>
      <w:r>
        <w:t xml:space="preserve">. The possibility of fatal flaws occurring after authorisation still remains and it is questionable, if, with the low level of detail provided in developing the EIA, whether a site-specific assessment provides substantially more environmental protection that a </w:t>
      </w:r>
      <w:r w:rsidRPr="005C125E">
        <w:t xml:space="preserve">geographical </w:t>
      </w:r>
      <w:r>
        <w:t>assessment approach based on a SEA</w:t>
      </w:r>
      <w:r w:rsidRPr="00346BBC">
        <w:t xml:space="preserve">. </w:t>
      </w:r>
    </w:p>
    <w:p w:rsidR="00AE3F68" w:rsidRDefault="00AE3F68" w:rsidP="0077164A">
      <w:pPr>
        <w:pStyle w:val="BodyText"/>
        <w:spacing w:after="0" w:line="240" w:lineRule="auto"/>
        <w:jc w:val="both"/>
      </w:pPr>
    </w:p>
    <w:p w:rsidR="00AE3F68" w:rsidRDefault="00AE3F68" w:rsidP="00006605">
      <w:pPr>
        <w:pStyle w:val="BodyText"/>
        <w:spacing w:after="0" w:line="240" w:lineRule="auto"/>
        <w:jc w:val="both"/>
      </w:pPr>
      <w:r>
        <w:t>Although the streamlined process achieved through the SEA, improves on efficiency it still does not decrease in the number of applications submitted for EA, which was its objective. Noting that the renewable energy industry did not support the exclusion or delisting of their activity, an obvious change</w:t>
      </w:r>
      <w:r w:rsidRPr="00473CEE">
        <w:t xml:space="preserve"> that can be made to the REI4P process to improve efficiency</w:t>
      </w:r>
      <w:r>
        <w:t xml:space="preserve">, </w:t>
      </w:r>
      <w:r w:rsidRPr="00473CEE">
        <w:t xml:space="preserve">is to allow </w:t>
      </w:r>
      <w:r>
        <w:t xml:space="preserve">for a post-bid EA. This would </w:t>
      </w:r>
      <w:r w:rsidRPr="00473CEE">
        <w:t>have reduced the number of E</w:t>
      </w:r>
      <w:r>
        <w:t xml:space="preserve">As in the four-year period from 899 to 90. </w:t>
      </w:r>
      <w:r w:rsidRPr="00473CEE">
        <w:t>A post-bid scenario is presently applied to securing a Water Use licence from the Department of Water and Sanitation</w:t>
      </w:r>
      <w:r>
        <w:t xml:space="preserve"> (DWS)</w:t>
      </w:r>
      <w:r w:rsidRPr="00473CEE">
        <w:t>. At bid submission, the bidder is merely required to submit an acknowledgement from the D</w:t>
      </w:r>
      <w:r>
        <w:t xml:space="preserve">WS </w:t>
      </w:r>
      <w:r w:rsidRPr="00473CEE">
        <w:t xml:space="preserve">of the notice of their intention to submit an application for a Water Use license. </w:t>
      </w:r>
    </w:p>
    <w:p w:rsidR="00AE3F68" w:rsidRDefault="00AE3F68" w:rsidP="00006605">
      <w:pPr>
        <w:pStyle w:val="BodyText"/>
        <w:spacing w:after="0" w:line="240" w:lineRule="auto"/>
        <w:jc w:val="both"/>
      </w:pPr>
    </w:p>
    <w:p w:rsidR="00AE3F68" w:rsidRDefault="00AE3F68" w:rsidP="005178C3">
      <w:pPr>
        <w:pStyle w:val="BodyText"/>
        <w:spacing w:after="0" w:line="240" w:lineRule="auto"/>
        <w:jc w:val="both"/>
      </w:pPr>
      <w:r w:rsidRPr="00473CEE">
        <w:t xml:space="preserve">From a time perspective, </w:t>
      </w:r>
      <w:r>
        <w:t xml:space="preserve">the streamlined process facilitated by the pre-screening undertaken through the SEA process allows for </w:t>
      </w:r>
      <w:r w:rsidRPr="00473CEE">
        <w:t>a post-bi</w:t>
      </w:r>
      <w:r>
        <w:t>d EA to be</w:t>
      </w:r>
      <w:r w:rsidRPr="00473CEE">
        <w:t xml:space="preserve"> feasible.</w:t>
      </w:r>
      <w:r>
        <w:t xml:space="preserve"> Table 2</w:t>
      </w:r>
      <w:r w:rsidRPr="00473CEE">
        <w:t xml:space="preserve"> indicates that the time between the bid submission and the financial closure has been 12.3 months on average over the three finalised bid windows. Noting that the </w:t>
      </w:r>
      <w:r>
        <w:t>agreed timeframe for reviewing an application for a renewable energy project within a REDZ is 147 days (5 months), it would be possible for the BA</w:t>
      </w:r>
      <w:r w:rsidRPr="00473CEE">
        <w:t xml:space="preserve"> to be undertaken between preferred bidder announcement and financial closure. Not only would this assist in reducing the numbers of applications </w:t>
      </w:r>
      <w:r w:rsidRPr="00B62AF1">
        <w:rPr>
          <w:noProof/>
        </w:rPr>
        <w:t>received,</w:t>
      </w:r>
      <w:r>
        <w:rPr>
          <w:noProof/>
        </w:rPr>
        <w:t xml:space="preserve"> but</w:t>
      </w:r>
      <w:r w:rsidRPr="00B62AF1">
        <w:rPr>
          <w:noProof/>
        </w:rPr>
        <w:t xml:space="preserve"> it</w:t>
      </w:r>
      <w:r w:rsidRPr="00473CEE">
        <w:t xml:space="preserve"> would also bring the time between the initiation of the EIA process and the construction of the project closer</w:t>
      </w:r>
      <w:r>
        <w:t xml:space="preserve"> thereby improving on the technical detail available for consideration and reducing the need for conditional authorisations</w:t>
      </w:r>
      <w:r w:rsidRPr="00473CEE">
        <w:t xml:space="preserve">. </w:t>
      </w:r>
    </w:p>
    <w:p w:rsidR="00AE3F68" w:rsidRDefault="00AE3F68" w:rsidP="005178C3">
      <w:pPr>
        <w:pStyle w:val="BodyText"/>
        <w:spacing w:after="0" w:line="240" w:lineRule="auto"/>
      </w:pPr>
    </w:p>
    <w:p w:rsidR="00AE3F68" w:rsidRPr="004E3D52" w:rsidRDefault="00AE3F68" w:rsidP="00B1293E">
      <w:pPr>
        <w:pStyle w:val="BodyText"/>
        <w:spacing w:after="0" w:line="240" w:lineRule="auto"/>
        <w:jc w:val="both"/>
      </w:pPr>
      <w:r>
        <w:t xml:space="preserve">A concern was raised that a post-bid EA would increase the risk of a fatal flaw occurring after the successful bidder is announced. However, this possibility is mitigated by the </w:t>
      </w:r>
      <w:r w:rsidRPr="00473CEE">
        <w:t xml:space="preserve">improved screening process </w:t>
      </w:r>
      <w:r>
        <w:t xml:space="preserve">identified through the SEA process and housed within the pre-screening tool. The EIA review identified that </w:t>
      </w:r>
      <w:r w:rsidRPr="00473CEE">
        <w:t>a geographical study followed by a site walkthrough of the final turbine and road location prior to construction could</w:t>
      </w:r>
      <w:r>
        <w:t xml:space="preserve">, </w:t>
      </w:r>
      <w:r w:rsidRPr="000A0C61">
        <w:t>in most instances,</w:t>
      </w:r>
      <w:r w:rsidRPr="00473CEE">
        <w:t xml:space="preserve"> yield the same level of environmental protection</w:t>
      </w:r>
      <w:r>
        <w:t xml:space="preserve"> as the site specific EIA prepared on limited information</w:t>
      </w:r>
      <w:r w:rsidRPr="00473CEE">
        <w:t xml:space="preserve">. </w:t>
      </w:r>
    </w:p>
    <w:tbl>
      <w:tblPr>
        <w:tblW w:w="0" w:type="auto"/>
        <w:tblLook w:val="00A0" w:firstRow="1" w:lastRow="0" w:firstColumn="1" w:lastColumn="0" w:noHBand="0" w:noVBand="0"/>
      </w:tblPr>
      <w:tblGrid>
        <w:gridCol w:w="9002"/>
      </w:tblGrid>
      <w:tr w:rsidR="00AE3F68" w:rsidRPr="00473CEE" w:rsidTr="00516A9F">
        <w:tc>
          <w:tcPr>
            <w:tcW w:w="9002" w:type="dxa"/>
          </w:tcPr>
          <w:p w:rsidR="00AE3F68" w:rsidRPr="00473CEE" w:rsidRDefault="00AE3F68" w:rsidP="00516A9F">
            <w:pPr>
              <w:pStyle w:val="CaptionTable"/>
              <w:framePr w:hSpace="0" w:wrap="auto" w:vAnchor="margin" w:hAnchor="text" w:yAlign="inline"/>
            </w:pPr>
            <w:r w:rsidRPr="00473CEE">
              <w:lastRenderedPageBreak/>
              <w:t xml:space="preserve">Table </w:t>
            </w:r>
            <w:r>
              <w:t>2</w:t>
            </w:r>
            <w:r w:rsidRPr="00473CEE">
              <w:t xml:space="preserve">: EIA applications received for renewable energy projects per REI4P </w:t>
            </w:r>
            <w:r>
              <w:t>bid</w:t>
            </w:r>
            <w:r w:rsidRPr="00473CEE">
              <w:t xml:space="preserve"> window</w:t>
            </w:r>
          </w:p>
          <w:p w:rsidR="00AE3F68" w:rsidRPr="00473CEE" w:rsidRDefault="00AE3F68" w:rsidP="00FD3C5E">
            <w:pPr>
              <w:pStyle w:val="CaptionTablesourcecitationfollows"/>
              <w:framePr w:wrap="around"/>
            </w:pPr>
            <w:r w:rsidRPr="00473CEE">
              <w:t xml:space="preserve">Source: </w:t>
            </w:r>
            <w:r w:rsidRPr="00516A9F">
              <w:rPr>
                <w:rFonts w:ascii="Times New Roman" w:hAnsi="Times New Roman"/>
                <w:noProof/>
              </w:rPr>
              <w:t>(Fourie &amp; Essop, 2015)</w:t>
            </w:r>
          </w:p>
        </w:tc>
      </w:tr>
      <w:tr w:rsidR="00AE3F68" w:rsidRPr="00473CEE" w:rsidTr="00516A9F">
        <w:tc>
          <w:tcPr>
            <w:tcW w:w="9002" w:type="dxa"/>
          </w:tcPr>
          <w:tbl>
            <w:tblPr>
              <w:tblW w:w="5000" w:type="pct"/>
              <w:jc w:val="center"/>
              <w:tblLook w:val="00A0" w:firstRow="1" w:lastRow="0" w:firstColumn="1" w:lastColumn="0" w:noHBand="0" w:noVBand="0"/>
            </w:tblPr>
            <w:tblGrid>
              <w:gridCol w:w="2169"/>
              <w:gridCol w:w="1346"/>
              <w:gridCol w:w="895"/>
              <w:gridCol w:w="398"/>
              <w:gridCol w:w="565"/>
              <w:gridCol w:w="727"/>
              <w:gridCol w:w="244"/>
              <w:gridCol w:w="1051"/>
              <w:gridCol w:w="179"/>
              <w:gridCol w:w="1202"/>
            </w:tblGrid>
            <w:tr w:rsidR="00AE3F68" w:rsidRPr="00473CEE" w:rsidTr="00FD3C5E">
              <w:trPr>
                <w:jc w:val="center"/>
              </w:trPr>
              <w:tc>
                <w:tcPr>
                  <w:tcW w:w="1235" w:type="pct"/>
                  <w:vMerge w:val="restart"/>
                  <w:tcBorders>
                    <w:top w:val="single" w:sz="4" w:space="0" w:color="auto"/>
                    <w:left w:val="single" w:sz="4" w:space="0" w:color="auto"/>
                  </w:tcBorders>
                  <w:shd w:val="clear" w:color="auto" w:fill="C2D69B"/>
                  <w:vAlign w:val="center"/>
                </w:tcPr>
                <w:p w:rsidR="00AE3F68" w:rsidRPr="00311CCB" w:rsidRDefault="00AE3F68" w:rsidP="00FD3C5E">
                  <w:pPr>
                    <w:pStyle w:val="tabletext"/>
                    <w:keepNext/>
                    <w:rPr>
                      <w:b/>
                      <w:sz w:val="13"/>
                      <w:szCs w:val="13"/>
                    </w:rPr>
                  </w:pPr>
                  <w:r w:rsidRPr="00311CCB">
                    <w:rPr>
                      <w:b/>
                      <w:sz w:val="13"/>
                      <w:szCs w:val="13"/>
                    </w:rPr>
                    <w:t>Bid window</w:t>
                  </w:r>
                </w:p>
              </w:tc>
              <w:tc>
                <w:tcPr>
                  <w:tcW w:w="1277" w:type="pct"/>
                  <w:gridSpan w:val="2"/>
                  <w:vMerge w:val="restart"/>
                  <w:tcBorders>
                    <w:top w:val="single" w:sz="4" w:space="0" w:color="auto"/>
                  </w:tcBorders>
                  <w:shd w:val="clear" w:color="auto" w:fill="C2D69B"/>
                  <w:vAlign w:val="center"/>
                </w:tcPr>
                <w:p w:rsidR="00AE3F68" w:rsidRPr="00311CCB" w:rsidRDefault="00AE3F68" w:rsidP="00FD3C5E">
                  <w:pPr>
                    <w:pStyle w:val="tabletext"/>
                    <w:keepNext/>
                    <w:jc w:val="center"/>
                    <w:rPr>
                      <w:b/>
                      <w:sz w:val="13"/>
                      <w:szCs w:val="13"/>
                    </w:rPr>
                  </w:pPr>
                  <w:r w:rsidRPr="00311CCB">
                    <w:rPr>
                      <w:b/>
                      <w:sz w:val="13"/>
                      <w:szCs w:val="13"/>
                    </w:rPr>
                    <w:t>Reporting period</w:t>
                  </w:r>
                </w:p>
              </w:tc>
              <w:tc>
                <w:tcPr>
                  <w:tcW w:w="1102" w:type="pct"/>
                  <w:gridSpan w:val="4"/>
                  <w:tcBorders>
                    <w:top w:val="single" w:sz="4" w:space="0" w:color="auto"/>
                  </w:tcBorders>
                  <w:shd w:val="clear" w:color="auto" w:fill="C2D69B"/>
                  <w:vAlign w:val="center"/>
                </w:tcPr>
                <w:p w:rsidR="00AE3F68" w:rsidRPr="00311CCB" w:rsidRDefault="00AE3F68" w:rsidP="00FD3C5E">
                  <w:pPr>
                    <w:pStyle w:val="tabletext"/>
                    <w:keepNext/>
                    <w:jc w:val="center"/>
                    <w:rPr>
                      <w:b/>
                      <w:sz w:val="13"/>
                      <w:szCs w:val="13"/>
                    </w:rPr>
                  </w:pPr>
                  <w:r w:rsidRPr="00311CCB">
                    <w:rPr>
                      <w:b/>
                      <w:sz w:val="13"/>
                      <w:szCs w:val="13"/>
                    </w:rPr>
                    <w:t>Number of new applications</w:t>
                  </w:r>
                </w:p>
              </w:tc>
              <w:tc>
                <w:tcPr>
                  <w:tcW w:w="701" w:type="pct"/>
                  <w:gridSpan w:val="2"/>
                  <w:vMerge w:val="restart"/>
                  <w:tcBorders>
                    <w:top w:val="single" w:sz="4" w:space="0" w:color="auto"/>
                  </w:tcBorders>
                  <w:shd w:val="clear" w:color="auto" w:fill="C2D69B"/>
                  <w:vAlign w:val="center"/>
                </w:tcPr>
                <w:p w:rsidR="00AE3F68" w:rsidRPr="00311CCB" w:rsidRDefault="00AE3F68" w:rsidP="00FD3C5E">
                  <w:pPr>
                    <w:pStyle w:val="tabletext"/>
                    <w:keepNext/>
                    <w:jc w:val="center"/>
                    <w:rPr>
                      <w:b/>
                      <w:sz w:val="13"/>
                      <w:szCs w:val="13"/>
                    </w:rPr>
                  </w:pPr>
                  <w:r w:rsidRPr="00311CCB">
                    <w:rPr>
                      <w:b/>
                      <w:sz w:val="13"/>
                      <w:szCs w:val="13"/>
                    </w:rPr>
                    <w:t xml:space="preserve">Total number of new applications per bid window </w:t>
                  </w:r>
                </w:p>
              </w:tc>
              <w:tc>
                <w:tcPr>
                  <w:tcW w:w="685" w:type="pct"/>
                  <w:vMerge w:val="restart"/>
                  <w:tcBorders>
                    <w:top w:val="single" w:sz="4" w:space="0" w:color="auto"/>
                    <w:right w:val="single" w:sz="4" w:space="0" w:color="auto"/>
                  </w:tcBorders>
                  <w:shd w:val="clear" w:color="auto" w:fill="C2D69B"/>
                  <w:vAlign w:val="center"/>
                </w:tcPr>
                <w:p w:rsidR="00AE3F68" w:rsidRPr="00311CCB" w:rsidRDefault="00AE3F68" w:rsidP="00FD3C5E">
                  <w:pPr>
                    <w:pStyle w:val="tabletext"/>
                    <w:keepNext/>
                    <w:jc w:val="center"/>
                    <w:rPr>
                      <w:b/>
                      <w:sz w:val="13"/>
                      <w:szCs w:val="13"/>
                    </w:rPr>
                  </w:pPr>
                  <w:r w:rsidRPr="00311CCB">
                    <w:rPr>
                      <w:b/>
                      <w:sz w:val="13"/>
                      <w:szCs w:val="13"/>
                    </w:rPr>
                    <w:t xml:space="preserve">Number of amendments </w:t>
                  </w:r>
                </w:p>
              </w:tc>
            </w:tr>
            <w:tr w:rsidR="00AE3F68" w:rsidRPr="00473CEE" w:rsidTr="00FD3C5E">
              <w:trPr>
                <w:jc w:val="center"/>
              </w:trPr>
              <w:tc>
                <w:tcPr>
                  <w:tcW w:w="1235" w:type="pct"/>
                  <w:vMerge/>
                  <w:tcBorders>
                    <w:left w:val="single" w:sz="4" w:space="0" w:color="auto"/>
                    <w:bottom w:val="single" w:sz="4" w:space="0" w:color="auto"/>
                  </w:tcBorders>
                  <w:shd w:val="clear" w:color="auto" w:fill="CCC0D9"/>
                </w:tcPr>
                <w:p w:rsidR="00AE3F68" w:rsidRPr="00311CCB" w:rsidRDefault="00AE3F68" w:rsidP="00FD3C5E">
                  <w:pPr>
                    <w:pStyle w:val="tabletext"/>
                    <w:keepNext/>
                    <w:rPr>
                      <w:sz w:val="13"/>
                      <w:szCs w:val="13"/>
                    </w:rPr>
                  </w:pPr>
                </w:p>
              </w:tc>
              <w:tc>
                <w:tcPr>
                  <w:tcW w:w="1277" w:type="pct"/>
                  <w:gridSpan w:val="2"/>
                  <w:vMerge/>
                  <w:tcBorders>
                    <w:bottom w:val="single" w:sz="4" w:space="0" w:color="auto"/>
                  </w:tcBorders>
                  <w:vAlign w:val="center"/>
                </w:tcPr>
                <w:p w:rsidR="00AE3F68" w:rsidRPr="00311CCB" w:rsidRDefault="00AE3F68" w:rsidP="00FD3C5E">
                  <w:pPr>
                    <w:pStyle w:val="tabletext"/>
                    <w:keepNext/>
                    <w:rPr>
                      <w:sz w:val="13"/>
                      <w:szCs w:val="13"/>
                    </w:rPr>
                  </w:pPr>
                </w:p>
              </w:tc>
              <w:tc>
                <w:tcPr>
                  <w:tcW w:w="549" w:type="pct"/>
                  <w:gridSpan w:val="2"/>
                  <w:tcBorders>
                    <w:bottom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S&amp;EIR</w:t>
                  </w:r>
                  <w:r w:rsidRPr="00311CCB">
                    <w:rPr>
                      <w:rStyle w:val="FootnoteReference"/>
                      <w:rFonts w:cs="Calibri"/>
                      <w:b/>
                      <w:sz w:val="13"/>
                      <w:szCs w:val="13"/>
                    </w:rPr>
                    <w:footnoteReference w:id="1"/>
                  </w:r>
                </w:p>
              </w:tc>
              <w:tc>
                <w:tcPr>
                  <w:tcW w:w="553" w:type="pct"/>
                  <w:gridSpan w:val="2"/>
                  <w:tcBorders>
                    <w:bottom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BAR</w:t>
                  </w:r>
                  <w:r w:rsidRPr="00311CCB">
                    <w:rPr>
                      <w:rStyle w:val="FootnoteReference"/>
                      <w:rFonts w:cs="Calibri"/>
                      <w:b/>
                      <w:sz w:val="13"/>
                      <w:szCs w:val="13"/>
                    </w:rPr>
                    <w:footnoteReference w:id="2"/>
                  </w:r>
                </w:p>
              </w:tc>
              <w:tc>
                <w:tcPr>
                  <w:tcW w:w="701" w:type="pct"/>
                  <w:gridSpan w:val="2"/>
                  <w:vMerge/>
                  <w:tcBorders>
                    <w:bottom w:val="single" w:sz="4" w:space="0" w:color="auto"/>
                  </w:tcBorders>
                  <w:vAlign w:val="center"/>
                </w:tcPr>
                <w:p w:rsidR="00AE3F68" w:rsidRPr="00311CCB" w:rsidRDefault="00AE3F68" w:rsidP="00FD3C5E">
                  <w:pPr>
                    <w:pStyle w:val="tabletext"/>
                    <w:keepNext/>
                    <w:rPr>
                      <w:sz w:val="13"/>
                      <w:szCs w:val="13"/>
                    </w:rPr>
                  </w:pPr>
                </w:p>
              </w:tc>
              <w:tc>
                <w:tcPr>
                  <w:tcW w:w="685" w:type="pct"/>
                  <w:vMerge/>
                  <w:tcBorders>
                    <w:bottom w:val="single" w:sz="4" w:space="0" w:color="auto"/>
                    <w:right w:val="single" w:sz="4" w:space="0" w:color="auto"/>
                  </w:tcBorders>
                  <w:vAlign w:val="center"/>
                </w:tcPr>
                <w:p w:rsidR="00AE3F68" w:rsidRPr="00311CCB" w:rsidRDefault="00AE3F68" w:rsidP="00FD3C5E">
                  <w:pPr>
                    <w:pStyle w:val="tabletext"/>
                    <w:keepNext/>
                    <w:rPr>
                      <w:sz w:val="13"/>
                      <w:szCs w:val="13"/>
                    </w:rPr>
                  </w:pPr>
                </w:p>
              </w:tc>
            </w:tr>
            <w:tr w:rsidR="00AE3F68" w:rsidRPr="00473CEE" w:rsidTr="00FD3C5E">
              <w:trPr>
                <w:jc w:val="center"/>
              </w:trPr>
              <w:tc>
                <w:tcPr>
                  <w:tcW w:w="1235" w:type="pct"/>
                  <w:tcBorders>
                    <w:top w:val="single" w:sz="4" w:space="0" w:color="auto"/>
                    <w:left w:val="single" w:sz="4" w:space="0" w:color="auto"/>
                  </w:tcBorders>
                  <w:shd w:val="clear" w:color="auto" w:fill="D6E3BC"/>
                </w:tcPr>
                <w:p w:rsidR="00AE3F68" w:rsidRPr="00311CCB" w:rsidRDefault="00AE3F68" w:rsidP="00FD3C5E">
                  <w:pPr>
                    <w:pStyle w:val="tabletext"/>
                    <w:keepNext/>
                    <w:rPr>
                      <w:b/>
                      <w:sz w:val="13"/>
                      <w:szCs w:val="13"/>
                    </w:rPr>
                  </w:pPr>
                  <w:r w:rsidRPr="00311CCB">
                    <w:rPr>
                      <w:b/>
                      <w:sz w:val="13"/>
                      <w:szCs w:val="13"/>
                    </w:rPr>
                    <w:t>Prior to REFIT &amp; REI4P</w:t>
                  </w:r>
                </w:p>
              </w:tc>
              <w:tc>
                <w:tcPr>
                  <w:tcW w:w="1277" w:type="pct"/>
                  <w:gridSpan w:val="2"/>
                  <w:tcBorders>
                    <w:top w:val="single" w:sz="4" w:space="0" w:color="auto"/>
                  </w:tcBorders>
                  <w:vAlign w:val="center"/>
                </w:tcPr>
                <w:p w:rsidR="00AE3F68" w:rsidRPr="00311CCB" w:rsidRDefault="00AE3F68" w:rsidP="00FD3C5E">
                  <w:pPr>
                    <w:pStyle w:val="tabletext"/>
                    <w:keepNext/>
                    <w:rPr>
                      <w:sz w:val="13"/>
                      <w:szCs w:val="13"/>
                    </w:rPr>
                  </w:pPr>
                  <w:r w:rsidRPr="00311CCB">
                    <w:rPr>
                      <w:sz w:val="13"/>
                      <w:szCs w:val="13"/>
                    </w:rPr>
                    <w:t>Prior to 2009</w:t>
                  </w:r>
                </w:p>
              </w:tc>
              <w:tc>
                <w:tcPr>
                  <w:tcW w:w="549" w:type="pct"/>
                  <w:gridSpan w:val="2"/>
                  <w:tcBorders>
                    <w:top w:val="single" w:sz="4" w:space="0" w:color="auto"/>
                  </w:tcBorders>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2</w:t>
                  </w:r>
                </w:p>
              </w:tc>
              <w:tc>
                <w:tcPr>
                  <w:tcW w:w="553" w:type="pct"/>
                  <w:gridSpan w:val="2"/>
                  <w:tcBorders>
                    <w:top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0</w:t>
                  </w:r>
                </w:p>
              </w:tc>
              <w:tc>
                <w:tcPr>
                  <w:tcW w:w="701" w:type="pct"/>
                  <w:gridSpan w:val="2"/>
                  <w:tcBorders>
                    <w:top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N/A</w:t>
                  </w:r>
                </w:p>
              </w:tc>
              <w:tc>
                <w:tcPr>
                  <w:tcW w:w="685" w:type="pct"/>
                  <w:tcBorders>
                    <w:top w:val="single" w:sz="4" w:space="0" w:color="auto"/>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Not recorded</w:t>
                  </w:r>
                </w:p>
              </w:tc>
            </w:tr>
            <w:tr w:rsidR="00AE3F68" w:rsidRPr="00473CEE" w:rsidTr="00FD3C5E">
              <w:trPr>
                <w:trHeight w:val="284"/>
                <w:jc w:val="center"/>
              </w:trPr>
              <w:tc>
                <w:tcPr>
                  <w:tcW w:w="1235" w:type="pct"/>
                  <w:tcBorders>
                    <w:left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1</w:t>
                  </w:r>
                </w:p>
              </w:tc>
              <w:tc>
                <w:tcPr>
                  <w:tcW w:w="1277" w:type="pct"/>
                  <w:gridSpan w:val="2"/>
                  <w:vAlign w:val="center"/>
                </w:tcPr>
                <w:p w:rsidR="00AE3F68" w:rsidRPr="00311CCB" w:rsidRDefault="00AE3F68" w:rsidP="00FD3C5E">
                  <w:pPr>
                    <w:pStyle w:val="tabletext"/>
                    <w:keepNext/>
                    <w:rPr>
                      <w:sz w:val="13"/>
                      <w:szCs w:val="13"/>
                    </w:rPr>
                  </w:pPr>
                  <w:r w:rsidRPr="00311CCB">
                    <w:rPr>
                      <w:sz w:val="13"/>
                      <w:szCs w:val="13"/>
                    </w:rPr>
                    <w:t>2009 to 04-11-2011</w:t>
                  </w:r>
                </w:p>
              </w:tc>
              <w:tc>
                <w:tcPr>
                  <w:tcW w:w="549" w:type="pct"/>
                  <w:gridSpan w:val="2"/>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250</w:t>
                  </w:r>
                </w:p>
              </w:tc>
              <w:tc>
                <w:tcPr>
                  <w:tcW w:w="553" w:type="pct"/>
                  <w:gridSpan w:val="2"/>
                  <w:vAlign w:val="center"/>
                </w:tcPr>
                <w:p w:rsidR="00AE3F68" w:rsidRPr="00311CCB" w:rsidRDefault="00AE3F68" w:rsidP="00FD3C5E">
                  <w:pPr>
                    <w:pStyle w:val="tabletext"/>
                    <w:keepNext/>
                    <w:jc w:val="center"/>
                    <w:rPr>
                      <w:sz w:val="13"/>
                      <w:szCs w:val="13"/>
                    </w:rPr>
                  </w:pPr>
                  <w:r w:rsidRPr="00311CCB">
                    <w:rPr>
                      <w:sz w:val="13"/>
                      <w:szCs w:val="13"/>
                    </w:rPr>
                    <w:t>91</w:t>
                  </w:r>
                </w:p>
              </w:tc>
              <w:tc>
                <w:tcPr>
                  <w:tcW w:w="701" w:type="pct"/>
                  <w:gridSpan w:val="2"/>
                  <w:vAlign w:val="center"/>
                </w:tcPr>
                <w:p w:rsidR="00AE3F68" w:rsidRPr="00311CCB" w:rsidRDefault="00AE3F68" w:rsidP="00FD3C5E">
                  <w:pPr>
                    <w:pStyle w:val="tabletext"/>
                    <w:keepNext/>
                    <w:jc w:val="center"/>
                    <w:rPr>
                      <w:sz w:val="13"/>
                      <w:szCs w:val="13"/>
                    </w:rPr>
                  </w:pPr>
                  <w:r w:rsidRPr="00311CCB">
                    <w:rPr>
                      <w:sz w:val="13"/>
                      <w:szCs w:val="13"/>
                    </w:rPr>
                    <w:t>341</w:t>
                  </w:r>
                </w:p>
              </w:tc>
              <w:tc>
                <w:tcPr>
                  <w:tcW w:w="685" w:type="pct"/>
                  <w:tcBorders>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20</w:t>
                  </w:r>
                </w:p>
              </w:tc>
            </w:tr>
            <w:tr w:rsidR="00AE3F68" w:rsidRPr="00473CEE" w:rsidTr="00FD3C5E">
              <w:trPr>
                <w:trHeight w:val="284"/>
                <w:jc w:val="center"/>
              </w:trPr>
              <w:tc>
                <w:tcPr>
                  <w:tcW w:w="1235" w:type="pct"/>
                  <w:tcBorders>
                    <w:left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2</w:t>
                  </w:r>
                </w:p>
              </w:tc>
              <w:tc>
                <w:tcPr>
                  <w:tcW w:w="1277" w:type="pct"/>
                  <w:gridSpan w:val="2"/>
                  <w:vAlign w:val="center"/>
                </w:tcPr>
                <w:p w:rsidR="00AE3F68" w:rsidRPr="00311CCB" w:rsidRDefault="00AE3F68" w:rsidP="00FD3C5E">
                  <w:pPr>
                    <w:pStyle w:val="tabletext"/>
                    <w:keepNext/>
                    <w:rPr>
                      <w:sz w:val="13"/>
                      <w:szCs w:val="13"/>
                    </w:rPr>
                  </w:pPr>
                  <w:r w:rsidRPr="00311CCB">
                    <w:rPr>
                      <w:sz w:val="13"/>
                      <w:szCs w:val="13"/>
                    </w:rPr>
                    <w:t xml:space="preserve">04-11-2011 to 05-03-2012 </w:t>
                  </w:r>
                </w:p>
              </w:tc>
              <w:tc>
                <w:tcPr>
                  <w:tcW w:w="549" w:type="pct"/>
                  <w:gridSpan w:val="2"/>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54</w:t>
                  </w:r>
                </w:p>
              </w:tc>
              <w:tc>
                <w:tcPr>
                  <w:tcW w:w="553" w:type="pct"/>
                  <w:gridSpan w:val="2"/>
                  <w:vAlign w:val="center"/>
                </w:tcPr>
                <w:p w:rsidR="00AE3F68" w:rsidRPr="00311CCB" w:rsidRDefault="00AE3F68" w:rsidP="00FD3C5E">
                  <w:pPr>
                    <w:pStyle w:val="tabletext"/>
                    <w:keepNext/>
                    <w:jc w:val="center"/>
                    <w:rPr>
                      <w:sz w:val="13"/>
                      <w:szCs w:val="13"/>
                    </w:rPr>
                  </w:pPr>
                  <w:r w:rsidRPr="00311CCB">
                    <w:rPr>
                      <w:sz w:val="13"/>
                      <w:szCs w:val="13"/>
                    </w:rPr>
                    <w:t>59</w:t>
                  </w:r>
                </w:p>
              </w:tc>
              <w:tc>
                <w:tcPr>
                  <w:tcW w:w="701" w:type="pct"/>
                  <w:gridSpan w:val="2"/>
                  <w:vAlign w:val="center"/>
                </w:tcPr>
                <w:p w:rsidR="00AE3F68" w:rsidRPr="00311CCB" w:rsidRDefault="00AE3F68" w:rsidP="00FD3C5E">
                  <w:pPr>
                    <w:pStyle w:val="tabletext"/>
                    <w:keepNext/>
                    <w:jc w:val="center"/>
                    <w:rPr>
                      <w:sz w:val="13"/>
                      <w:szCs w:val="13"/>
                    </w:rPr>
                  </w:pPr>
                  <w:r w:rsidRPr="00311CCB">
                    <w:rPr>
                      <w:sz w:val="13"/>
                      <w:szCs w:val="13"/>
                    </w:rPr>
                    <w:t>113</w:t>
                  </w:r>
                </w:p>
              </w:tc>
              <w:tc>
                <w:tcPr>
                  <w:tcW w:w="685" w:type="pct"/>
                  <w:tcBorders>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23</w:t>
                  </w:r>
                </w:p>
              </w:tc>
            </w:tr>
            <w:tr w:rsidR="00AE3F68" w:rsidRPr="00473CEE" w:rsidTr="00FD3C5E">
              <w:trPr>
                <w:trHeight w:val="284"/>
                <w:jc w:val="center"/>
              </w:trPr>
              <w:tc>
                <w:tcPr>
                  <w:tcW w:w="1235" w:type="pct"/>
                  <w:tcBorders>
                    <w:left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3</w:t>
                  </w:r>
                </w:p>
              </w:tc>
              <w:tc>
                <w:tcPr>
                  <w:tcW w:w="1277" w:type="pct"/>
                  <w:gridSpan w:val="2"/>
                  <w:vAlign w:val="center"/>
                </w:tcPr>
                <w:p w:rsidR="00AE3F68" w:rsidRPr="00311CCB" w:rsidRDefault="00AE3F68" w:rsidP="00FD3C5E">
                  <w:pPr>
                    <w:pStyle w:val="tabletext"/>
                    <w:keepNext/>
                    <w:rPr>
                      <w:sz w:val="13"/>
                      <w:szCs w:val="13"/>
                    </w:rPr>
                  </w:pPr>
                  <w:r w:rsidRPr="00311CCB">
                    <w:rPr>
                      <w:sz w:val="13"/>
                      <w:szCs w:val="13"/>
                    </w:rPr>
                    <w:t>05-03-2012 to 18-08-2013</w:t>
                  </w:r>
                </w:p>
              </w:tc>
              <w:tc>
                <w:tcPr>
                  <w:tcW w:w="549" w:type="pct"/>
                  <w:gridSpan w:val="2"/>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232</w:t>
                  </w:r>
                </w:p>
              </w:tc>
              <w:tc>
                <w:tcPr>
                  <w:tcW w:w="553" w:type="pct"/>
                  <w:gridSpan w:val="2"/>
                  <w:vAlign w:val="center"/>
                </w:tcPr>
                <w:p w:rsidR="00AE3F68" w:rsidRPr="00311CCB" w:rsidRDefault="00AE3F68" w:rsidP="00FD3C5E">
                  <w:pPr>
                    <w:pStyle w:val="tabletext"/>
                    <w:keepNext/>
                    <w:jc w:val="center"/>
                    <w:rPr>
                      <w:sz w:val="13"/>
                      <w:szCs w:val="13"/>
                    </w:rPr>
                  </w:pPr>
                  <w:r w:rsidRPr="00311CCB">
                    <w:rPr>
                      <w:sz w:val="13"/>
                      <w:szCs w:val="13"/>
                    </w:rPr>
                    <w:t>72</w:t>
                  </w:r>
                </w:p>
              </w:tc>
              <w:tc>
                <w:tcPr>
                  <w:tcW w:w="701" w:type="pct"/>
                  <w:gridSpan w:val="2"/>
                  <w:vAlign w:val="center"/>
                </w:tcPr>
                <w:p w:rsidR="00AE3F68" w:rsidRPr="00311CCB" w:rsidRDefault="00AE3F68" w:rsidP="00FD3C5E">
                  <w:pPr>
                    <w:pStyle w:val="tabletext"/>
                    <w:keepNext/>
                    <w:jc w:val="center"/>
                    <w:rPr>
                      <w:sz w:val="13"/>
                      <w:szCs w:val="13"/>
                    </w:rPr>
                  </w:pPr>
                  <w:r w:rsidRPr="00311CCB">
                    <w:rPr>
                      <w:sz w:val="13"/>
                      <w:szCs w:val="13"/>
                    </w:rPr>
                    <w:t>304</w:t>
                  </w:r>
                </w:p>
              </w:tc>
              <w:tc>
                <w:tcPr>
                  <w:tcW w:w="685" w:type="pct"/>
                  <w:tcBorders>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130</w:t>
                  </w:r>
                </w:p>
              </w:tc>
            </w:tr>
            <w:tr w:rsidR="00AE3F68" w:rsidRPr="00473CEE" w:rsidTr="00FD3C5E">
              <w:trPr>
                <w:trHeight w:val="284"/>
                <w:jc w:val="center"/>
              </w:trPr>
              <w:tc>
                <w:tcPr>
                  <w:tcW w:w="1235" w:type="pct"/>
                  <w:tcBorders>
                    <w:left w:val="single" w:sz="4" w:space="0" w:color="auto"/>
                  </w:tcBorders>
                  <w:shd w:val="clear" w:color="auto" w:fill="D6E3BC"/>
                  <w:vAlign w:val="center"/>
                </w:tcPr>
                <w:p w:rsidR="00AE3F68" w:rsidRPr="00311CCB" w:rsidRDefault="00AE3F68" w:rsidP="00FD3C5E">
                  <w:pPr>
                    <w:pStyle w:val="tabletext"/>
                    <w:keepNext/>
                    <w:jc w:val="center"/>
                    <w:rPr>
                      <w:b/>
                      <w:sz w:val="13"/>
                      <w:szCs w:val="13"/>
                    </w:rPr>
                  </w:pPr>
                  <w:r w:rsidRPr="00311CCB">
                    <w:rPr>
                      <w:b/>
                      <w:sz w:val="13"/>
                      <w:szCs w:val="13"/>
                    </w:rPr>
                    <w:t>4</w:t>
                  </w:r>
                </w:p>
              </w:tc>
              <w:tc>
                <w:tcPr>
                  <w:tcW w:w="1277" w:type="pct"/>
                  <w:gridSpan w:val="2"/>
                  <w:vAlign w:val="center"/>
                </w:tcPr>
                <w:p w:rsidR="00AE3F68" w:rsidRPr="00311CCB" w:rsidRDefault="00AE3F68" w:rsidP="00FD3C5E">
                  <w:pPr>
                    <w:pStyle w:val="tabletext"/>
                    <w:keepNext/>
                    <w:rPr>
                      <w:sz w:val="13"/>
                      <w:szCs w:val="13"/>
                    </w:rPr>
                  </w:pPr>
                  <w:r w:rsidRPr="00311CCB">
                    <w:rPr>
                      <w:sz w:val="13"/>
                      <w:szCs w:val="13"/>
                    </w:rPr>
                    <w:t>18-08-2013 to 19-08-2014</w:t>
                  </w:r>
                </w:p>
              </w:tc>
              <w:tc>
                <w:tcPr>
                  <w:tcW w:w="549" w:type="pct"/>
                  <w:gridSpan w:val="2"/>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96</w:t>
                  </w:r>
                </w:p>
              </w:tc>
              <w:tc>
                <w:tcPr>
                  <w:tcW w:w="553" w:type="pct"/>
                  <w:gridSpan w:val="2"/>
                  <w:vAlign w:val="center"/>
                </w:tcPr>
                <w:p w:rsidR="00AE3F68" w:rsidRPr="00311CCB" w:rsidRDefault="00AE3F68" w:rsidP="00FD3C5E">
                  <w:pPr>
                    <w:pStyle w:val="tabletext"/>
                    <w:keepNext/>
                    <w:jc w:val="center"/>
                    <w:rPr>
                      <w:sz w:val="13"/>
                      <w:szCs w:val="13"/>
                    </w:rPr>
                  </w:pPr>
                  <w:r w:rsidRPr="00311CCB">
                    <w:rPr>
                      <w:sz w:val="13"/>
                      <w:szCs w:val="13"/>
                    </w:rPr>
                    <w:t>33</w:t>
                  </w:r>
                </w:p>
              </w:tc>
              <w:tc>
                <w:tcPr>
                  <w:tcW w:w="701" w:type="pct"/>
                  <w:gridSpan w:val="2"/>
                  <w:vAlign w:val="center"/>
                </w:tcPr>
                <w:p w:rsidR="00AE3F68" w:rsidRPr="00311CCB" w:rsidRDefault="00AE3F68" w:rsidP="00FD3C5E">
                  <w:pPr>
                    <w:pStyle w:val="tabletext"/>
                    <w:keepNext/>
                    <w:jc w:val="center"/>
                    <w:rPr>
                      <w:sz w:val="13"/>
                      <w:szCs w:val="13"/>
                    </w:rPr>
                  </w:pPr>
                  <w:r w:rsidRPr="00311CCB">
                    <w:rPr>
                      <w:sz w:val="13"/>
                      <w:szCs w:val="13"/>
                    </w:rPr>
                    <w:t>129</w:t>
                  </w:r>
                </w:p>
              </w:tc>
              <w:tc>
                <w:tcPr>
                  <w:tcW w:w="685" w:type="pct"/>
                  <w:tcBorders>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114</w:t>
                  </w:r>
                </w:p>
              </w:tc>
            </w:tr>
            <w:tr w:rsidR="00AE3F68" w:rsidRPr="00473CEE" w:rsidTr="00FD3C5E">
              <w:trPr>
                <w:cantSplit/>
                <w:trHeight w:val="340"/>
                <w:jc w:val="center"/>
              </w:trPr>
              <w:tc>
                <w:tcPr>
                  <w:tcW w:w="2512" w:type="pct"/>
                  <w:gridSpan w:val="3"/>
                  <w:tcBorders>
                    <w:top w:val="single" w:sz="4" w:space="0" w:color="auto"/>
                    <w:left w:val="single" w:sz="4" w:space="0" w:color="auto"/>
                    <w:bottom w:val="single" w:sz="4" w:space="0" w:color="auto"/>
                  </w:tcBorders>
                  <w:shd w:val="clear" w:color="auto" w:fill="D6E3BC"/>
                  <w:vAlign w:val="center"/>
                </w:tcPr>
                <w:p w:rsidR="00AE3F68" w:rsidRPr="00311CCB" w:rsidRDefault="00AE3F68" w:rsidP="00FD3C5E">
                  <w:pPr>
                    <w:pStyle w:val="tabletext"/>
                    <w:keepNext/>
                    <w:jc w:val="right"/>
                    <w:rPr>
                      <w:b/>
                      <w:sz w:val="13"/>
                      <w:szCs w:val="13"/>
                    </w:rPr>
                  </w:pPr>
                  <w:r w:rsidRPr="00311CCB">
                    <w:rPr>
                      <w:b/>
                      <w:sz w:val="13"/>
                      <w:szCs w:val="13"/>
                    </w:rPr>
                    <w:t>Sub-total to bid window 4:</w:t>
                  </w:r>
                </w:p>
              </w:tc>
              <w:tc>
                <w:tcPr>
                  <w:tcW w:w="549" w:type="pct"/>
                  <w:gridSpan w:val="2"/>
                  <w:tcBorders>
                    <w:top w:val="single" w:sz="4" w:space="0" w:color="auto"/>
                    <w:bottom w:val="single" w:sz="4" w:space="0" w:color="auto"/>
                  </w:tcBorders>
                  <w:vAlign w:val="center"/>
                </w:tcPr>
                <w:p w:rsidR="00AE3F68" w:rsidRPr="00311CCB" w:rsidRDefault="00AE3F68" w:rsidP="00FD3C5E">
                  <w:pPr>
                    <w:pStyle w:val="tabletext"/>
                    <w:keepNext/>
                    <w:tabs>
                      <w:tab w:val="decimal" w:pos="496"/>
                    </w:tabs>
                    <w:jc w:val="left"/>
                    <w:rPr>
                      <w:b/>
                      <w:sz w:val="13"/>
                      <w:szCs w:val="13"/>
                    </w:rPr>
                  </w:pPr>
                  <w:r w:rsidRPr="00311CCB">
                    <w:rPr>
                      <w:b/>
                      <w:sz w:val="13"/>
                      <w:szCs w:val="13"/>
                    </w:rPr>
                    <w:t>634</w:t>
                  </w:r>
                </w:p>
              </w:tc>
              <w:tc>
                <w:tcPr>
                  <w:tcW w:w="553"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255</w:t>
                  </w:r>
                </w:p>
              </w:tc>
              <w:tc>
                <w:tcPr>
                  <w:tcW w:w="701"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889</w:t>
                  </w:r>
                </w:p>
              </w:tc>
              <w:tc>
                <w:tcPr>
                  <w:tcW w:w="685" w:type="pct"/>
                  <w:tcBorders>
                    <w:top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287</w:t>
                  </w:r>
                </w:p>
              </w:tc>
            </w:tr>
            <w:tr w:rsidR="00AE3F68" w:rsidRPr="00473CEE" w:rsidTr="00FD3C5E">
              <w:trPr>
                <w:trHeight w:val="284"/>
                <w:jc w:val="center"/>
              </w:trPr>
              <w:tc>
                <w:tcPr>
                  <w:tcW w:w="1235" w:type="pct"/>
                  <w:tcBorders>
                    <w:top w:val="single" w:sz="4" w:space="0" w:color="auto"/>
                    <w:left w:val="single" w:sz="4" w:space="0" w:color="auto"/>
                    <w:bottom w:val="single" w:sz="4" w:space="0" w:color="auto"/>
                  </w:tcBorders>
                  <w:shd w:val="clear" w:color="auto" w:fill="D6E3BC"/>
                  <w:vAlign w:val="center"/>
                </w:tcPr>
                <w:p w:rsidR="00AE3F68" w:rsidRPr="00311CCB" w:rsidRDefault="00AE3F68" w:rsidP="00FD3C5E">
                  <w:pPr>
                    <w:pStyle w:val="tabletext"/>
                    <w:keepNext/>
                    <w:rPr>
                      <w:b/>
                      <w:sz w:val="13"/>
                      <w:szCs w:val="13"/>
                    </w:rPr>
                  </w:pPr>
                  <w:r w:rsidRPr="00311CCB">
                    <w:rPr>
                      <w:b/>
                      <w:sz w:val="13"/>
                      <w:szCs w:val="13"/>
                    </w:rPr>
                    <w:t>Post 4</w:t>
                  </w:r>
                </w:p>
              </w:tc>
              <w:tc>
                <w:tcPr>
                  <w:tcW w:w="1277" w:type="pct"/>
                  <w:gridSpan w:val="2"/>
                  <w:tcBorders>
                    <w:top w:val="single" w:sz="4" w:space="0" w:color="auto"/>
                    <w:bottom w:val="single" w:sz="4" w:space="0" w:color="auto"/>
                  </w:tcBorders>
                  <w:vAlign w:val="center"/>
                </w:tcPr>
                <w:p w:rsidR="00AE3F68" w:rsidRPr="00311CCB" w:rsidRDefault="00AE3F68" w:rsidP="00FD3C5E">
                  <w:pPr>
                    <w:pStyle w:val="tabletext"/>
                    <w:keepNext/>
                    <w:rPr>
                      <w:sz w:val="13"/>
                      <w:szCs w:val="13"/>
                    </w:rPr>
                  </w:pPr>
                  <w:r w:rsidRPr="00311CCB">
                    <w:rPr>
                      <w:sz w:val="13"/>
                      <w:szCs w:val="13"/>
                    </w:rPr>
                    <w:t>19-08-2014 to 07-07-2015</w:t>
                  </w:r>
                </w:p>
              </w:tc>
              <w:tc>
                <w:tcPr>
                  <w:tcW w:w="549" w:type="pct"/>
                  <w:gridSpan w:val="2"/>
                  <w:tcBorders>
                    <w:top w:val="single" w:sz="4" w:space="0" w:color="auto"/>
                    <w:bottom w:val="single" w:sz="4" w:space="0" w:color="auto"/>
                  </w:tcBorders>
                  <w:vAlign w:val="center"/>
                </w:tcPr>
                <w:p w:rsidR="00AE3F68" w:rsidRPr="00311CCB" w:rsidRDefault="00AE3F68" w:rsidP="00FD3C5E">
                  <w:pPr>
                    <w:pStyle w:val="tabletext"/>
                    <w:keepNext/>
                    <w:tabs>
                      <w:tab w:val="decimal" w:pos="496"/>
                    </w:tabs>
                    <w:jc w:val="left"/>
                    <w:rPr>
                      <w:sz w:val="13"/>
                      <w:szCs w:val="13"/>
                    </w:rPr>
                  </w:pPr>
                  <w:r w:rsidRPr="00311CCB">
                    <w:rPr>
                      <w:sz w:val="13"/>
                      <w:szCs w:val="13"/>
                    </w:rPr>
                    <w:t>44</w:t>
                  </w:r>
                </w:p>
              </w:tc>
              <w:tc>
                <w:tcPr>
                  <w:tcW w:w="553"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3</w:t>
                  </w:r>
                </w:p>
              </w:tc>
              <w:tc>
                <w:tcPr>
                  <w:tcW w:w="701"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47</w:t>
                  </w:r>
                </w:p>
              </w:tc>
              <w:tc>
                <w:tcPr>
                  <w:tcW w:w="685" w:type="pct"/>
                  <w:tcBorders>
                    <w:top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sz w:val="13"/>
                      <w:szCs w:val="13"/>
                    </w:rPr>
                  </w:pPr>
                  <w:r w:rsidRPr="00311CCB">
                    <w:rPr>
                      <w:sz w:val="13"/>
                      <w:szCs w:val="13"/>
                    </w:rPr>
                    <w:t>77</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tcBorders>
                  <w:vAlign w:val="center"/>
                </w:tcPr>
                <w:p w:rsidR="00AE3F68" w:rsidRPr="00311CCB" w:rsidRDefault="00AE3F68" w:rsidP="00FD3C5E">
                  <w:pPr>
                    <w:pStyle w:val="tabletext"/>
                    <w:keepNext/>
                    <w:rPr>
                      <w:b/>
                      <w:sz w:val="13"/>
                      <w:szCs w:val="13"/>
                    </w:rPr>
                  </w:pPr>
                </w:p>
              </w:tc>
              <w:tc>
                <w:tcPr>
                  <w:tcW w:w="1277" w:type="pct"/>
                  <w:gridSpan w:val="2"/>
                  <w:tcBorders>
                    <w:top w:val="single" w:sz="4" w:space="0" w:color="auto"/>
                    <w:bottom w:val="single" w:sz="4" w:space="0" w:color="auto"/>
                  </w:tcBorders>
                  <w:vAlign w:val="center"/>
                </w:tcPr>
                <w:p w:rsidR="00AE3F68" w:rsidRPr="00311CCB" w:rsidRDefault="00AE3F68" w:rsidP="00FD3C5E">
                  <w:pPr>
                    <w:pStyle w:val="tabletext"/>
                    <w:keepNext/>
                    <w:jc w:val="right"/>
                    <w:rPr>
                      <w:b/>
                      <w:sz w:val="13"/>
                      <w:szCs w:val="13"/>
                    </w:rPr>
                  </w:pPr>
                  <w:r w:rsidRPr="00311CCB">
                    <w:rPr>
                      <w:b/>
                      <w:sz w:val="13"/>
                      <w:szCs w:val="13"/>
                    </w:rPr>
                    <w:t xml:space="preserve">Total: </w:t>
                  </w:r>
                </w:p>
              </w:tc>
              <w:tc>
                <w:tcPr>
                  <w:tcW w:w="549" w:type="pct"/>
                  <w:gridSpan w:val="2"/>
                  <w:tcBorders>
                    <w:top w:val="single" w:sz="4" w:space="0" w:color="auto"/>
                    <w:bottom w:val="single" w:sz="4" w:space="0" w:color="auto"/>
                  </w:tcBorders>
                  <w:vAlign w:val="center"/>
                </w:tcPr>
                <w:p w:rsidR="00AE3F68" w:rsidRPr="00311CCB" w:rsidRDefault="00AE3F68" w:rsidP="00FD3C5E">
                  <w:pPr>
                    <w:pStyle w:val="tabletext"/>
                    <w:keepNext/>
                    <w:tabs>
                      <w:tab w:val="decimal" w:pos="496"/>
                    </w:tabs>
                    <w:jc w:val="left"/>
                    <w:rPr>
                      <w:b/>
                      <w:sz w:val="13"/>
                      <w:szCs w:val="13"/>
                    </w:rPr>
                  </w:pPr>
                  <w:r w:rsidRPr="00311CCB">
                    <w:rPr>
                      <w:b/>
                      <w:sz w:val="13"/>
                      <w:szCs w:val="13"/>
                    </w:rPr>
                    <w:t>678</w:t>
                  </w:r>
                </w:p>
              </w:tc>
              <w:tc>
                <w:tcPr>
                  <w:tcW w:w="553"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258</w:t>
                  </w:r>
                </w:p>
              </w:tc>
              <w:tc>
                <w:tcPr>
                  <w:tcW w:w="701" w:type="pct"/>
                  <w:gridSpan w:val="2"/>
                  <w:tcBorders>
                    <w:top w:val="single" w:sz="4" w:space="0" w:color="auto"/>
                    <w:bottom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936</w:t>
                  </w:r>
                  <w:r w:rsidRPr="00311CCB">
                    <w:rPr>
                      <w:rStyle w:val="FootnoteReference"/>
                      <w:rFonts w:cs="Calibri"/>
                      <w:b/>
                      <w:sz w:val="13"/>
                      <w:szCs w:val="13"/>
                    </w:rPr>
                    <w:footnoteReference w:id="3"/>
                  </w:r>
                </w:p>
              </w:tc>
              <w:tc>
                <w:tcPr>
                  <w:tcW w:w="685" w:type="pct"/>
                  <w:tcBorders>
                    <w:top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364</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 xml:space="preserve">Bid information </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 xml:space="preserve">Bid Window 1 </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Bid Window 2</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Bid Window 3</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 xml:space="preserve">Bid Window 4 </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Bid Window 4 additional bidders</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Date of procurement documents release</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17-11-2011</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03-02-2012</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03-05-2013</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20-05-2014</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b/>
                      <w:sz w:val="13"/>
                      <w:szCs w:val="13"/>
                    </w:rPr>
                    <w:t xml:space="preserve">Bid closure </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04-11-2011</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05-03-2012</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18-08-2013</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19-08-2014</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tcPr>
                <w:p w:rsidR="00AE3F68" w:rsidRPr="00311CCB" w:rsidRDefault="00AE3F68" w:rsidP="00FD3C5E">
                  <w:pPr>
                    <w:pStyle w:val="tabletext"/>
                    <w:keepNext/>
                    <w:jc w:val="center"/>
                    <w:rPr>
                      <w:b/>
                      <w:sz w:val="13"/>
                      <w:szCs w:val="13"/>
                    </w:rPr>
                  </w:pPr>
                  <w:r w:rsidRPr="00311CCB">
                    <w:rPr>
                      <w:b/>
                      <w:sz w:val="13"/>
                      <w:szCs w:val="13"/>
                      <w:lang w:eastAsia="en-ZA"/>
                    </w:rPr>
                    <w:t>Date of preferred bidders announced</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07-12-2011</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10-05-2012</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29-10-2013</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16-04-2015</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08-06-2015</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tcPr>
                <w:p w:rsidR="00AE3F68" w:rsidRPr="00311CCB" w:rsidRDefault="00AE3F68" w:rsidP="00FD3C5E">
                  <w:pPr>
                    <w:pStyle w:val="tabletext"/>
                    <w:keepNext/>
                    <w:jc w:val="center"/>
                    <w:rPr>
                      <w:b/>
                      <w:sz w:val="13"/>
                      <w:szCs w:val="13"/>
                    </w:rPr>
                  </w:pPr>
                  <w:r w:rsidRPr="00311CCB">
                    <w:rPr>
                      <w:b/>
                      <w:sz w:val="13"/>
                      <w:szCs w:val="13"/>
                      <w:lang w:eastAsia="en-ZA"/>
                    </w:rPr>
                    <w:t xml:space="preserve">Date of financial closure and signing of NERSA Agreements </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05-11-2012</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09-05-2013</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11-12-2014</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Expected Q4 2015</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Expected Q4 2015</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tcPr>
                <w:p w:rsidR="00AE3F68" w:rsidRPr="00311CCB" w:rsidRDefault="00AE3F68" w:rsidP="00FD3C5E">
                  <w:pPr>
                    <w:pStyle w:val="tabletext"/>
                    <w:keepNext/>
                    <w:jc w:val="center"/>
                    <w:rPr>
                      <w:b/>
                      <w:sz w:val="13"/>
                      <w:szCs w:val="13"/>
                    </w:rPr>
                  </w:pPr>
                  <w:r w:rsidRPr="00311CCB">
                    <w:rPr>
                      <w:b/>
                      <w:sz w:val="13"/>
                      <w:szCs w:val="13"/>
                      <w:lang w:eastAsia="en-ZA"/>
                    </w:rPr>
                    <w:t>Months from bid to financial closure</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15</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15</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19</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w:t>
                  </w:r>
                </w:p>
              </w:tc>
            </w:tr>
            <w:tr w:rsidR="00AE3F68" w:rsidRPr="00473CEE" w:rsidTr="00FD3C5E">
              <w:trPr>
                <w:trHeight w:val="340"/>
                <w:jc w:val="center"/>
              </w:trPr>
              <w:tc>
                <w:tcPr>
                  <w:tcW w:w="1235" w:type="pct"/>
                  <w:tcBorders>
                    <w:top w:val="single" w:sz="4" w:space="0" w:color="auto"/>
                    <w:left w:val="single" w:sz="4" w:space="0" w:color="auto"/>
                    <w:bottom w:val="single" w:sz="4" w:space="0" w:color="auto"/>
                    <w:right w:val="single" w:sz="4" w:space="0" w:color="auto"/>
                  </w:tcBorders>
                </w:tcPr>
                <w:p w:rsidR="00AE3F68" w:rsidRPr="00311CCB" w:rsidRDefault="00AE3F68" w:rsidP="00FD3C5E">
                  <w:pPr>
                    <w:pStyle w:val="tabletext"/>
                    <w:keepNext/>
                    <w:jc w:val="center"/>
                    <w:rPr>
                      <w:b/>
                      <w:sz w:val="13"/>
                      <w:szCs w:val="13"/>
                    </w:rPr>
                  </w:pPr>
                  <w:r w:rsidRPr="00311CCB">
                    <w:rPr>
                      <w:b/>
                      <w:sz w:val="13"/>
                      <w:szCs w:val="13"/>
                      <w:lang w:eastAsia="en-ZA"/>
                    </w:rPr>
                    <w:t>Months from preferred bidder announcement to financial closure</w:t>
                  </w:r>
                </w:p>
              </w:tc>
              <w:tc>
                <w:tcPr>
                  <w:tcW w:w="767" w:type="pct"/>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11</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12</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r w:rsidRPr="00311CCB">
                    <w:rPr>
                      <w:sz w:val="13"/>
                      <w:szCs w:val="13"/>
                      <w:lang w:eastAsia="en-ZA"/>
                    </w:rPr>
                    <w:t>14</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p>
              </w:tc>
              <w:tc>
                <w:tcPr>
                  <w:tcW w:w="787" w:type="pct"/>
                  <w:gridSpan w:val="2"/>
                  <w:tcBorders>
                    <w:top w:val="single" w:sz="4" w:space="0" w:color="auto"/>
                    <w:left w:val="single" w:sz="4" w:space="0" w:color="auto"/>
                    <w:bottom w:val="single" w:sz="4" w:space="0" w:color="auto"/>
                    <w:right w:val="single" w:sz="4" w:space="0" w:color="auto"/>
                  </w:tcBorders>
                  <w:vAlign w:val="center"/>
                </w:tcPr>
                <w:p w:rsidR="00AE3F68" w:rsidRPr="00311CCB" w:rsidRDefault="00AE3F68" w:rsidP="00FD3C5E">
                  <w:pPr>
                    <w:pStyle w:val="tabletext"/>
                    <w:keepNext/>
                    <w:jc w:val="center"/>
                    <w:rPr>
                      <w:b/>
                      <w:sz w:val="13"/>
                      <w:szCs w:val="13"/>
                    </w:rPr>
                  </w:pPr>
                </w:p>
              </w:tc>
            </w:tr>
          </w:tbl>
          <w:p w:rsidR="00AE3F68" w:rsidRPr="00473CEE" w:rsidRDefault="00AE3F68" w:rsidP="00516A9F">
            <w:pPr>
              <w:pStyle w:val="BodyText"/>
              <w:spacing w:after="0"/>
            </w:pPr>
          </w:p>
        </w:tc>
      </w:tr>
    </w:tbl>
    <w:p w:rsidR="00AE3F68" w:rsidRPr="000F6FA8" w:rsidRDefault="00AE3F68" w:rsidP="000F6FA8">
      <w:pPr>
        <w:pStyle w:val="NoSpacing"/>
        <w:rPr>
          <w:rFonts w:cs="Calibri"/>
          <w:lang w:val="en-US" w:eastAsia="en-ZA"/>
        </w:rPr>
      </w:pPr>
    </w:p>
    <w:p w:rsidR="00AE3F68" w:rsidRPr="00E42185" w:rsidRDefault="00AE3F68" w:rsidP="007F51F8">
      <w:pPr>
        <w:pStyle w:val="NoSpacing"/>
        <w:rPr>
          <w:b/>
        </w:rPr>
      </w:pPr>
      <w:r w:rsidRPr="00E42185">
        <w:rPr>
          <w:b/>
        </w:rPr>
        <w:t>References</w:t>
      </w:r>
    </w:p>
    <w:p w:rsidR="00AE3F68" w:rsidRDefault="00AE3F68" w:rsidP="007F51F8">
      <w:pPr>
        <w:pStyle w:val="NoSpacing"/>
        <w:rPr>
          <w:rFonts w:ascii="Times New Roman" w:hAnsi="Times New Roman"/>
        </w:rPr>
      </w:pPr>
    </w:p>
    <w:p w:rsidR="00AE3F68" w:rsidRDefault="00AE3F68" w:rsidP="00AA2D08">
      <w:pPr>
        <w:spacing w:after="0" w:line="240" w:lineRule="auto"/>
        <w:ind w:left="720" w:hanging="720"/>
        <w:jc w:val="both"/>
        <w:rPr>
          <w:noProof/>
        </w:rPr>
      </w:pPr>
      <w:r>
        <w:rPr>
          <w:noProof/>
        </w:rPr>
        <w:t xml:space="preserve">National Planning Commission. (2011). </w:t>
      </w:r>
      <w:r>
        <w:rPr>
          <w:i/>
          <w:iCs/>
          <w:noProof/>
        </w:rPr>
        <w:t>National Development Plan 2030 - Our Future. Make It Work.</w:t>
      </w:r>
      <w:r>
        <w:rPr>
          <w:noProof/>
        </w:rPr>
        <w:t xml:space="preserve"> Pretoria: The Presidency. Republic of South Africa. </w:t>
      </w:r>
    </w:p>
    <w:p w:rsidR="00AE3F68" w:rsidRDefault="00AE3F68" w:rsidP="00AA2D08">
      <w:pPr>
        <w:spacing w:after="0" w:line="240" w:lineRule="auto"/>
        <w:jc w:val="both"/>
        <w:rPr>
          <w:noProof/>
        </w:rPr>
      </w:pPr>
    </w:p>
    <w:p w:rsidR="00AE3F68" w:rsidRPr="00AF3A65" w:rsidRDefault="00AE3F68" w:rsidP="00AF3A65">
      <w:pPr>
        <w:pStyle w:val="Bibliography"/>
        <w:ind w:left="720" w:hanging="720"/>
        <w:jc w:val="left"/>
        <w:rPr>
          <w:rFonts w:ascii="Calibri" w:hAnsi="Calibri"/>
          <w:noProof/>
        </w:rPr>
      </w:pPr>
      <w:r w:rsidRPr="00AA2D08">
        <w:rPr>
          <w:rFonts w:ascii="Calibri" w:hAnsi="Calibri"/>
          <w:noProof/>
        </w:rPr>
        <w:t xml:space="preserve">Department of Energy. (2013). </w:t>
      </w:r>
      <w:r w:rsidRPr="00AA2D08">
        <w:rPr>
          <w:rFonts w:ascii="Calibri" w:hAnsi="Calibri"/>
          <w:i/>
          <w:iCs/>
          <w:noProof/>
        </w:rPr>
        <w:t>Integrated Resource Plan for Electricity 2010-2030 Update Report.</w:t>
      </w:r>
      <w:r w:rsidRPr="00AA2D08">
        <w:rPr>
          <w:rFonts w:ascii="Calibri" w:hAnsi="Calibri"/>
          <w:noProof/>
        </w:rPr>
        <w:t xml:space="preserve"> Pretoria: Department of Energy.</w:t>
      </w:r>
    </w:p>
    <w:p w:rsidR="00AE3F68" w:rsidRPr="00AA2D08" w:rsidRDefault="00AE3F68" w:rsidP="00AA2D08">
      <w:pPr>
        <w:spacing w:after="0" w:line="240" w:lineRule="auto"/>
        <w:jc w:val="both"/>
        <w:rPr>
          <w:rFonts w:cs="Segoe UI"/>
          <w:sz w:val="20"/>
        </w:rPr>
      </w:pPr>
    </w:p>
    <w:p w:rsidR="00AE3F68" w:rsidRDefault="00AE3F68" w:rsidP="00AA2D08">
      <w:pPr>
        <w:pStyle w:val="Bibliography"/>
        <w:ind w:left="720" w:hanging="720"/>
        <w:jc w:val="left"/>
        <w:rPr>
          <w:rFonts w:ascii="Calibri" w:hAnsi="Calibri"/>
          <w:noProof/>
        </w:rPr>
      </w:pPr>
      <w:r w:rsidRPr="00AA2D08">
        <w:rPr>
          <w:rFonts w:ascii="Calibri" w:hAnsi="Calibri"/>
          <w:noProof/>
        </w:rPr>
        <w:t xml:space="preserve">Fischer, D. A. (2016). </w:t>
      </w:r>
      <w:r w:rsidRPr="00AA2D08">
        <w:rPr>
          <w:rFonts w:ascii="Calibri" w:hAnsi="Calibri"/>
          <w:i/>
          <w:iCs/>
          <w:noProof/>
        </w:rPr>
        <w:t>Streamlining environmental goverance for national infrastucutre programmes. Thesis presented for the Degree of Doctor of Philosophy in the Department of Geography, Environmental Management and Energy Studies, Faculty of Science, University of Johannesburg.</w:t>
      </w:r>
      <w:r w:rsidRPr="00AA2D08">
        <w:rPr>
          <w:rFonts w:ascii="Calibri" w:hAnsi="Calibri"/>
          <w:noProof/>
        </w:rPr>
        <w:t xml:space="preserve"> Johannesburg: (unpublished). </w:t>
      </w:r>
    </w:p>
    <w:p w:rsidR="00AE3F68" w:rsidRDefault="00AE3F68" w:rsidP="00AF3A65"/>
    <w:p w:rsidR="00AE3F68" w:rsidRDefault="00AE3F68" w:rsidP="00AF3A65">
      <w:pPr>
        <w:pStyle w:val="Bibliography"/>
        <w:ind w:left="720" w:hanging="720"/>
        <w:jc w:val="left"/>
        <w:rPr>
          <w:rFonts w:ascii="Calibri" w:hAnsi="Calibri"/>
          <w:noProof/>
        </w:rPr>
      </w:pPr>
      <w:r w:rsidRPr="00AF3A65">
        <w:rPr>
          <w:rFonts w:ascii="Calibri" w:hAnsi="Calibri"/>
          <w:noProof/>
        </w:rPr>
        <w:t xml:space="preserve">Department of Environmental Affairs. (2015d). </w:t>
      </w:r>
      <w:r w:rsidRPr="00AF3A65">
        <w:rPr>
          <w:rFonts w:ascii="Calibri" w:hAnsi="Calibri"/>
          <w:i/>
          <w:iCs/>
          <w:noProof/>
        </w:rPr>
        <w:t>Strategic Environmental Assessment for Wind and Solar Photovoltaic energy in South Africa.</w:t>
      </w:r>
      <w:r w:rsidRPr="00AF3A65">
        <w:rPr>
          <w:rFonts w:ascii="Calibri" w:hAnsi="Calibri"/>
          <w:noProof/>
        </w:rPr>
        <w:t xml:space="preserve"> Pretoria: Department of Environmental Affairs.</w:t>
      </w:r>
    </w:p>
    <w:p w:rsidR="00AE3F68" w:rsidRPr="00AF3A65" w:rsidRDefault="00AE3F68" w:rsidP="00AF3A65">
      <w:pPr>
        <w:spacing w:after="0"/>
      </w:pPr>
    </w:p>
    <w:p w:rsidR="00AE3F68" w:rsidRDefault="00AE3F68" w:rsidP="00AF3A65">
      <w:pPr>
        <w:pStyle w:val="Bibliography"/>
        <w:ind w:left="720" w:hanging="720"/>
        <w:jc w:val="left"/>
        <w:rPr>
          <w:rFonts w:ascii="Calibri" w:hAnsi="Calibri"/>
          <w:noProof/>
        </w:rPr>
      </w:pPr>
      <w:r w:rsidRPr="00AF3A65">
        <w:rPr>
          <w:rFonts w:ascii="Calibri" w:hAnsi="Calibri"/>
          <w:noProof/>
        </w:rPr>
        <w:t xml:space="preserve">Department of Environmental Affairs. (2012b). </w:t>
      </w:r>
      <w:r w:rsidRPr="00AF3A65">
        <w:rPr>
          <w:rFonts w:ascii="Calibri" w:hAnsi="Calibri"/>
          <w:i/>
          <w:iCs/>
          <w:noProof/>
        </w:rPr>
        <w:t xml:space="preserve">Terms of Reference: For a Consultancy to Assist the Department with the development of a Strategic Environmental Assessment to facilitate the </w:t>
      </w:r>
      <w:r w:rsidRPr="00AF3A65">
        <w:rPr>
          <w:rFonts w:ascii="Calibri" w:hAnsi="Calibri"/>
          <w:i/>
          <w:iCs/>
          <w:noProof/>
        </w:rPr>
        <w:lastRenderedPageBreak/>
        <w:t>efficient and effective roll out of wind energy in South Africa.</w:t>
      </w:r>
      <w:r w:rsidRPr="00AF3A65">
        <w:rPr>
          <w:rFonts w:ascii="Calibri" w:hAnsi="Calibri"/>
          <w:noProof/>
        </w:rPr>
        <w:t xml:space="preserve"> Pretoria: Department of Environmental Affairs.</w:t>
      </w:r>
    </w:p>
    <w:p w:rsidR="00AE3F68" w:rsidRPr="00AF3A65" w:rsidRDefault="00AE3F68" w:rsidP="00AF3A65">
      <w:pPr>
        <w:spacing w:after="0"/>
      </w:pPr>
    </w:p>
    <w:p w:rsidR="00AE3F68" w:rsidRPr="00AF3A65" w:rsidRDefault="00AE3F68" w:rsidP="00AF3A65">
      <w:pPr>
        <w:pStyle w:val="Bibliography"/>
        <w:ind w:left="720" w:hanging="720"/>
        <w:jc w:val="left"/>
        <w:rPr>
          <w:rFonts w:ascii="Calibri" w:hAnsi="Calibri"/>
          <w:noProof/>
        </w:rPr>
      </w:pPr>
      <w:r w:rsidRPr="00AF3A65">
        <w:rPr>
          <w:rFonts w:ascii="Calibri" w:hAnsi="Calibri"/>
          <w:noProof/>
        </w:rPr>
        <w:t xml:space="preserve">Fourie, N., &amp; Essop, M. (2015). </w:t>
      </w:r>
      <w:r w:rsidRPr="00AF3A65">
        <w:rPr>
          <w:rFonts w:ascii="Calibri" w:hAnsi="Calibri"/>
          <w:i/>
          <w:iCs/>
          <w:noProof/>
        </w:rPr>
        <w:t>Environmental Impact Assessment applications received for renwable energy applications - 2009 until August 2014.</w:t>
      </w:r>
      <w:r w:rsidRPr="00AF3A65">
        <w:rPr>
          <w:rFonts w:ascii="Calibri" w:hAnsi="Calibri"/>
          <w:noProof/>
        </w:rPr>
        <w:t xml:space="preserve"> Pretoria: Not published.</w:t>
      </w:r>
    </w:p>
    <w:p w:rsidR="00AE3F68" w:rsidRPr="00AF3A65" w:rsidRDefault="00AE3F68" w:rsidP="00AF3A65"/>
    <w:p w:rsidR="00AE3F68" w:rsidRPr="00AF3A65" w:rsidRDefault="00AE3F68" w:rsidP="00AF3A65"/>
    <w:p w:rsidR="00AE3F68" w:rsidRPr="00AF3A65" w:rsidRDefault="00AE3F68" w:rsidP="00AF3A65"/>
    <w:p w:rsidR="00AE3F68" w:rsidRPr="00AA2D08" w:rsidRDefault="00AE3F68" w:rsidP="00AA2D08"/>
    <w:p w:rsidR="00AE3F68" w:rsidRPr="001530CB" w:rsidRDefault="00AE3F68" w:rsidP="00AA2D08">
      <w:pPr>
        <w:spacing w:after="0" w:line="240" w:lineRule="auto"/>
        <w:jc w:val="both"/>
        <w:rPr>
          <w:rFonts w:ascii="Segoe UI" w:hAnsi="Segoe UI" w:cs="Segoe UI"/>
          <w:sz w:val="20"/>
        </w:rPr>
      </w:pPr>
    </w:p>
    <w:p w:rsidR="00AE3F68" w:rsidRPr="004332C5" w:rsidRDefault="00AE3F68" w:rsidP="00414917">
      <w:pPr>
        <w:pStyle w:val="BodyText2"/>
        <w:adjustRightInd w:val="0"/>
        <w:snapToGrid w:val="0"/>
        <w:spacing w:line="276" w:lineRule="auto"/>
        <w:ind w:firstLine="720"/>
        <w:rPr>
          <w:rFonts w:ascii="Arial Narrow" w:hAnsi="Arial Narrow"/>
          <w:b/>
          <w:sz w:val="24"/>
          <w:szCs w:val="24"/>
        </w:rPr>
      </w:pPr>
    </w:p>
    <w:sectPr w:rsidR="00AE3F68" w:rsidRPr="004332C5" w:rsidSect="006011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68" w:rsidRDefault="00AE3F68" w:rsidP="00645C63">
      <w:pPr>
        <w:spacing w:after="0" w:line="240" w:lineRule="auto"/>
      </w:pPr>
      <w:r>
        <w:separator/>
      </w:r>
    </w:p>
  </w:endnote>
  <w:endnote w:type="continuationSeparator" w:id="0">
    <w:p w:rsidR="00AE3F68" w:rsidRDefault="00AE3F68" w:rsidP="0064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68" w:rsidRDefault="00664BD1">
    <w:pPr>
      <w:pStyle w:val="Footer"/>
      <w:jc w:val="center"/>
    </w:pPr>
    <w:r>
      <w:fldChar w:fldCharType="begin"/>
    </w:r>
    <w:r>
      <w:instrText xml:space="preserve"> PAGE   \* MERGEFORMAT </w:instrText>
    </w:r>
    <w:r>
      <w:fldChar w:fldCharType="separate"/>
    </w:r>
    <w:r>
      <w:rPr>
        <w:noProof/>
      </w:rPr>
      <w:t>3</w:t>
    </w:r>
    <w:r>
      <w:rPr>
        <w:noProof/>
      </w:rPr>
      <w:fldChar w:fldCharType="end"/>
    </w:r>
  </w:p>
  <w:p w:rsidR="00AE3F68" w:rsidRDefault="00AE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68" w:rsidRDefault="00AE3F68" w:rsidP="00645C63">
      <w:pPr>
        <w:spacing w:after="0" w:line="240" w:lineRule="auto"/>
      </w:pPr>
      <w:r>
        <w:separator/>
      </w:r>
    </w:p>
  </w:footnote>
  <w:footnote w:type="continuationSeparator" w:id="0">
    <w:p w:rsidR="00AE3F68" w:rsidRDefault="00AE3F68" w:rsidP="00645C63">
      <w:pPr>
        <w:spacing w:after="0" w:line="240" w:lineRule="auto"/>
      </w:pPr>
      <w:r>
        <w:continuationSeparator/>
      </w:r>
    </w:p>
  </w:footnote>
  <w:footnote w:id="1">
    <w:p w:rsidR="00AE3F68" w:rsidRDefault="00AE3F68" w:rsidP="00ED4F83">
      <w:pPr>
        <w:pStyle w:val="Footer"/>
      </w:pPr>
      <w:r w:rsidRPr="00B1293E">
        <w:rPr>
          <w:rStyle w:val="FootnoteReference"/>
          <w:sz w:val="18"/>
          <w:szCs w:val="18"/>
        </w:rPr>
        <w:footnoteRef/>
      </w:r>
      <w:r w:rsidRPr="00B1293E">
        <w:rPr>
          <w:sz w:val="18"/>
          <w:szCs w:val="18"/>
        </w:rPr>
        <w:t xml:space="preserve"> </w:t>
      </w:r>
      <w:r w:rsidRPr="00B1293E">
        <w:rPr>
          <w:sz w:val="18"/>
          <w:szCs w:val="18"/>
          <w:lang w:val="en-ZA"/>
        </w:rPr>
        <w:t>Scoping and Environmental Impact Report</w:t>
      </w:r>
    </w:p>
  </w:footnote>
  <w:footnote w:id="2">
    <w:p w:rsidR="00AE3F68" w:rsidRDefault="00AE3F68" w:rsidP="00ED4F83">
      <w:pPr>
        <w:pStyle w:val="Footer"/>
      </w:pPr>
      <w:r w:rsidRPr="00B1293E">
        <w:rPr>
          <w:rStyle w:val="FootnoteReference"/>
          <w:sz w:val="18"/>
          <w:szCs w:val="18"/>
        </w:rPr>
        <w:footnoteRef/>
      </w:r>
      <w:r w:rsidRPr="00B1293E">
        <w:rPr>
          <w:sz w:val="18"/>
          <w:szCs w:val="18"/>
        </w:rPr>
        <w:t xml:space="preserve"> </w:t>
      </w:r>
      <w:r w:rsidRPr="00B1293E">
        <w:rPr>
          <w:sz w:val="18"/>
          <w:szCs w:val="18"/>
          <w:lang w:val="en-ZA"/>
        </w:rPr>
        <w:t>Basic Assessment Report</w:t>
      </w:r>
    </w:p>
  </w:footnote>
  <w:footnote w:id="3">
    <w:p w:rsidR="00AE3F68" w:rsidRDefault="00AE3F68" w:rsidP="00ED4F83">
      <w:pPr>
        <w:pStyle w:val="Footer"/>
      </w:pPr>
      <w:r w:rsidRPr="00B1293E">
        <w:rPr>
          <w:rStyle w:val="FootnoteReference"/>
          <w:sz w:val="18"/>
          <w:szCs w:val="18"/>
        </w:rPr>
        <w:footnoteRef/>
      </w:r>
      <w:r w:rsidRPr="00B1293E">
        <w:rPr>
          <w:sz w:val="18"/>
          <w:szCs w:val="18"/>
        </w:rPr>
        <w:t xml:space="preserve"> </w:t>
      </w:r>
      <w:r w:rsidRPr="00B1293E">
        <w:rPr>
          <w:sz w:val="18"/>
          <w:szCs w:val="18"/>
          <w:lang w:val="en-ZA"/>
        </w:rPr>
        <w:t>This value does not include applications related to renewable energy generation, which is the erection of the power lines. The case study revealed that in three of the four projects power lines were applied for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09D"/>
    <w:multiLevelType w:val="hybridMultilevel"/>
    <w:tmpl w:val="31BC633C"/>
    <w:lvl w:ilvl="0" w:tplc="4A80670C">
      <w:start w:val="1"/>
      <w:numFmt w:val="bullet"/>
      <w:lvlText w:val="•"/>
      <w:lvlJc w:val="left"/>
      <w:pPr>
        <w:tabs>
          <w:tab w:val="num" w:pos="720"/>
        </w:tabs>
        <w:ind w:left="720" w:hanging="360"/>
      </w:pPr>
      <w:rPr>
        <w:rFonts w:ascii="Arial" w:hAnsi="Arial" w:hint="default"/>
      </w:rPr>
    </w:lvl>
    <w:lvl w:ilvl="1" w:tplc="D58C022E" w:tentative="1">
      <w:start w:val="1"/>
      <w:numFmt w:val="bullet"/>
      <w:lvlText w:val="•"/>
      <w:lvlJc w:val="left"/>
      <w:pPr>
        <w:tabs>
          <w:tab w:val="num" w:pos="1440"/>
        </w:tabs>
        <w:ind w:left="1440" w:hanging="360"/>
      </w:pPr>
      <w:rPr>
        <w:rFonts w:ascii="Arial" w:hAnsi="Arial" w:hint="default"/>
      </w:rPr>
    </w:lvl>
    <w:lvl w:ilvl="2" w:tplc="FD4CF636" w:tentative="1">
      <w:start w:val="1"/>
      <w:numFmt w:val="bullet"/>
      <w:lvlText w:val="•"/>
      <w:lvlJc w:val="left"/>
      <w:pPr>
        <w:tabs>
          <w:tab w:val="num" w:pos="2160"/>
        </w:tabs>
        <w:ind w:left="2160" w:hanging="360"/>
      </w:pPr>
      <w:rPr>
        <w:rFonts w:ascii="Arial" w:hAnsi="Arial" w:hint="default"/>
      </w:rPr>
    </w:lvl>
    <w:lvl w:ilvl="3" w:tplc="17A683D6" w:tentative="1">
      <w:start w:val="1"/>
      <w:numFmt w:val="bullet"/>
      <w:lvlText w:val="•"/>
      <w:lvlJc w:val="left"/>
      <w:pPr>
        <w:tabs>
          <w:tab w:val="num" w:pos="2880"/>
        </w:tabs>
        <w:ind w:left="2880" w:hanging="360"/>
      </w:pPr>
      <w:rPr>
        <w:rFonts w:ascii="Arial" w:hAnsi="Arial" w:hint="default"/>
      </w:rPr>
    </w:lvl>
    <w:lvl w:ilvl="4" w:tplc="0AD276CA" w:tentative="1">
      <w:start w:val="1"/>
      <w:numFmt w:val="bullet"/>
      <w:lvlText w:val="•"/>
      <w:lvlJc w:val="left"/>
      <w:pPr>
        <w:tabs>
          <w:tab w:val="num" w:pos="3600"/>
        </w:tabs>
        <w:ind w:left="3600" w:hanging="360"/>
      </w:pPr>
      <w:rPr>
        <w:rFonts w:ascii="Arial" w:hAnsi="Arial" w:hint="default"/>
      </w:rPr>
    </w:lvl>
    <w:lvl w:ilvl="5" w:tplc="B91872AC" w:tentative="1">
      <w:start w:val="1"/>
      <w:numFmt w:val="bullet"/>
      <w:lvlText w:val="•"/>
      <w:lvlJc w:val="left"/>
      <w:pPr>
        <w:tabs>
          <w:tab w:val="num" w:pos="4320"/>
        </w:tabs>
        <w:ind w:left="4320" w:hanging="360"/>
      </w:pPr>
      <w:rPr>
        <w:rFonts w:ascii="Arial" w:hAnsi="Arial" w:hint="default"/>
      </w:rPr>
    </w:lvl>
    <w:lvl w:ilvl="6" w:tplc="C7825EE6" w:tentative="1">
      <w:start w:val="1"/>
      <w:numFmt w:val="bullet"/>
      <w:lvlText w:val="•"/>
      <w:lvlJc w:val="left"/>
      <w:pPr>
        <w:tabs>
          <w:tab w:val="num" w:pos="5040"/>
        </w:tabs>
        <w:ind w:left="5040" w:hanging="360"/>
      </w:pPr>
      <w:rPr>
        <w:rFonts w:ascii="Arial" w:hAnsi="Arial" w:hint="default"/>
      </w:rPr>
    </w:lvl>
    <w:lvl w:ilvl="7" w:tplc="391C7926" w:tentative="1">
      <w:start w:val="1"/>
      <w:numFmt w:val="bullet"/>
      <w:lvlText w:val="•"/>
      <w:lvlJc w:val="left"/>
      <w:pPr>
        <w:tabs>
          <w:tab w:val="num" w:pos="5760"/>
        </w:tabs>
        <w:ind w:left="5760" w:hanging="360"/>
      </w:pPr>
      <w:rPr>
        <w:rFonts w:ascii="Arial" w:hAnsi="Arial" w:hint="default"/>
      </w:rPr>
    </w:lvl>
    <w:lvl w:ilvl="8" w:tplc="34D066AE" w:tentative="1">
      <w:start w:val="1"/>
      <w:numFmt w:val="bullet"/>
      <w:lvlText w:val="•"/>
      <w:lvlJc w:val="left"/>
      <w:pPr>
        <w:tabs>
          <w:tab w:val="num" w:pos="6480"/>
        </w:tabs>
        <w:ind w:left="6480" w:hanging="360"/>
      </w:pPr>
      <w:rPr>
        <w:rFonts w:ascii="Arial" w:hAnsi="Arial" w:hint="default"/>
      </w:rPr>
    </w:lvl>
  </w:abstractNum>
  <w:abstractNum w:abstractNumId="1">
    <w:nsid w:val="09925FD1"/>
    <w:multiLevelType w:val="multilevel"/>
    <w:tmpl w:val="9314FA08"/>
    <w:lvl w:ilvl="0">
      <w:start w:val="3"/>
      <w:numFmt w:val="decimal"/>
      <w:lvlText w:val="%1."/>
      <w:lvlJc w:val="left"/>
      <w:pPr>
        <w:ind w:left="720" w:hanging="360"/>
      </w:pPr>
      <w:rPr>
        <w:rFonts w:cs="Times New Roman" w:hint="default"/>
        <w:b/>
        <w:bCs/>
      </w:rPr>
    </w:lvl>
    <w:lvl w:ilvl="1">
      <w:start w:val="5"/>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F3F1CD4"/>
    <w:multiLevelType w:val="multilevel"/>
    <w:tmpl w:val="3700727C"/>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
    <w:nsid w:val="1FA11749"/>
    <w:multiLevelType w:val="hybridMultilevel"/>
    <w:tmpl w:val="31CA98A2"/>
    <w:lvl w:ilvl="0" w:tplc="29727DB6">
      <w:start w:val="1"/>
      <w:numFmt w:val="decimal"/>
      <w:lvlText w:val="(%1)"/>
      <w:lvlJc w:val="left"/>
      <w:pPr>
        <w:ind w:left="644" w:hanging="360"/>
      </w:pPr>
      <w:rPr>
        <w:rFonts w:cs="Times New Roman" w:hint="default"/>
        <w:vertAlign w:val="superscrip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4">
    <w:nsid w:val="235F3417"/>
    <w:multiLevelType w:val="multilevel"/>
    <w:tmpl w:val="46406A72"/>
    <w:lvl w:ilvl="0">
      <w:start w:val="6"/>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
    <w:nsid w:val="24586B57"/>
    <w:multiLevelType w:val="multilevel"/>
    <w:tmpl w:val="380EEB2E"/>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2A2B681A"/>
    <w:multiLevelType w:val="hybridMultilevel"/>
    <w:tmpl w:val="C726B3E6"/>
    <w:lvl w:ilvl="0" w:tplc="63004BF8">
      <w:start w:val="1"/>
      <w:numFmt w:val="bullet"/>
      <w:pStyle w:val="Bulletslastinlistextraspace"/>
      <w:lvlText w:val="-"/>
      <w:lvlJc w:val="left"/>
      <w:pPr>
        <w:ind w:left="810" w:hanging="360"/>
      </w:pPr>
      <w:rPr>
        <w:rFonts w:ascii="Calibri" w:eastAsia="Times New Roman" w:hAnsi="Calibr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5010854"/>
    <w:multiLevelType w:val="hybridMultilevel"/>
    <w:tmpl w:val="84646772"/>
    <w:lvl w:ilvl="0" w:tplc="FF3C3654">
      <w:start w:val="1"/>
      <w:numFmt w:val="bullet"/>
      <w:lvlText w:val="•"/>
      <w:lvlJc w:val="left"/>
      <w:pPr>
        <w:tabs>
          <w:tab w:val="num" w:pos="720"/>
        </w:tabs>
        <w:ind w:left="720" w:hanging="360"/>
      </w:pPr>
      <w:rPr>
        <w:rFonts w:ascii="Arial" w:hAnsi="Arial" w:hint="default"/>
      </w:rPr>
    </w:lvl>
    <w:lvl w:ilvl="1" w:tplc="9304A39A" w:tentative="1">
      <w:start w:val="1"/>
      <w:numFmt w:val="bullet"/>
      <w:lvlText w:val="•"/>
      <w:lvlJc w:val="left"/>
      <w:pPr>
        <w:tabs>
          <w:tab w:val="num" w:pos="1440"/>
        </w:tabs>
        <w:ind w:left="1440" w:hanging="360"/>
      </w:pPr>
      <w:rPr>
        <w:rFonts w:ascii="Arial" w:hAnsi="Arial" w:hint="default"/>
      </w:rPr>
    </w:lvl>
    <w:lvl w:ilvl="2" w:tplc="E3D89764" w:tentative="1">
      <w:start w:val="1"/>
      <w:numFmt w:val="bullet"/>
      <w:lvlText w:val="•"/>
      <w:lvlJc w:val="left"/>
      <w:pPr>
        <w:tabs>
          <w:tab w:val="num" w:pos="2160"/>
        </w:tabs>
        <w:ind w:left="2160" w:hanging="360"/>
      </w:pPr>
      <w:rPr>
        <w:rFonts w:ascii="Arial" w:hAnsi="Arial" w:hint="default"/>
      </w:rPr>
    </w:lvl>
    <w:lvl w:ilvl="3" w:tplc="82DA8B28" w:tentative="1">
      <w:start w:val="1"/>
      <w:numFmt w:val="bullet"/>
      <w:lvlText w:val="•"/>
      <w:lvlJc w:val="left"/>
      <w:pPr>
        <w:tabs>
          <w:tab w:val="num" w:pos="2880"/>
        </w:tabs>
        <w:ind w:left="2880" w:hanging="360"/>
      </w:pPr>
      <w:rPr>
        <w:rFonts w:ascii="Arial" w:hAnsi="Arial" w:hint="default"/>
      </w:rPr>
    </w:lvl>
    <w:lvl w:ilvl="4" w:tplc="0ADA948C" w:tentative="1">
      <w:start w:val="1"/>
      <w:numFmt w:val="bullet"/>
      <w:lvlText w:val="•"/>
      <w:lvlJc w:val="left"/>
      <w:pPr>
        <w:tabs>
          <w:tab w:val="num" w:pos="3600"/>
        </w:tabs>
        <w:ind w:left="3600" w:hanging="360"/>
      </w:pPr>
      <w:rPr>
        <w:rFonts w:ascii="Arial" w:hAnsi="Arial" w:hint="default"/>
      </w:rPr>
    </w:lvl>
    <w:lvl w:ilvl="5" w:tplc="2BAA75F4" w:tentative="1">
      <w:start w:val="1"/>
      <w:numFmt w:val="bullet"/>
      <w:lvlText w:val="•"/>
      <w:lvlJc w:val="left"/>
      <w:pPr>
        <w:tabs>
          <w:tab w:val="num" w:pos="4320"/>
        </w:tabs>
        <w:ind w:left="4320" w:hanging="360"/>
      </w:pPr>
      <w:rPr>
        <w:rFonts w:ascii="Arial" w:hAnsi="Arial" w:hint="default"/>
      </w:rPr>
    </w:lvl>
    <w:lvl w:ilvl="6" w:tplc="730613E4" w:tentative="1">
      <w:start w:val="1"/>
      <w:numFmt w:val="bullet"/>
      <w:lvlText w:val="•"/>
      <w:lvlJc w:val="left"/>
      <w:pPr>
        <w:tabs>
          <w:tab w:val="num" w:pos="5040"/>
        </w:tabs>
        <w:ind w:left="5040" w:hanging="360"/>
      </w:pPr>
      <w:rPr>
        <w:rFonts w:ascii="Arial" w:hAnsi="Arial" w:hint="default"/>
      </w:rPr>
    </w:lvl>
    <w:lvl w:ilvl="7" w:tplc="6EB0E9DC" w:tentative="1">
      <w:start w:val="1"/>
      <w:numFmt w:val="bullet"/>
      <w:lvlText w:val="•"/>
      <w:lvlJc w:val="left"/>
      <w:pPr>
        <w:tabs>
          <w:tab w:val="num" w:pos="5760"/>
        </w:tabs>
        <w:ind w:left="5760" w:hanging="360"/>
      </w:pPr>
      <w:rPr>
        <w:rFonts w:ascii="Arial" w:hAnsi="Arial" w:hint="default"/>
      </w:rPr>
    </w:lvl>
    <w:lvl w:ilvl="8" w:tplc="4CF6EA4E" w:tentative="1">
      <w:start w:val="1"/>
      <w:numFmt w:val="bullet"/>
      <w:lvlText w:val="•"/>
      <w:lvlJc w:val="left"/>
      <w:pPr>
        <w:tabs>
          <w:tab w:val="num" w:pos="6480"/>
        </w:tabs>
        <w:ind w:left="6480" w:hanging="360"/>
      </w:pPr>
      <w:rPr>
        <w:rFonts w:ascii="Arial" w:hAnsi="Arial" w:hint="default"/>
      </w:rPr>
    </w:lvl>
  </w:abstractNum>
  <w:abstractNum w:abstractNumId="8">
    <w:nsid w:val="48470B60"/>
    <w:multiLevelType w:val="hybridMultilevel"/>
    <w:tmpl w:val="3632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8731554"/>
    <w:multiLevelType w:val="hybridMultilevel"/>
    <w:tmpl w:val="14ECF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3E43D5"/>
    <w:multiLevelType w:val="multilevel"/>
    <w:tmpl w:val="FF5AC130"/>
    <w:lvl w:ilvl="0">
      <w:start w:val="6"/>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1">
    <w:nsid w:val="60097A5A"/>
    <w:multiLevelType w:val="multilevel"/>
    <w:tmpl w:val="FFE6E6D8"/>
    <w:lvl w:ilvl="0">
      <w:start w:val="3"/>
      <w:numFmt w:val="decimal"/>
      <w:lvlText w:val="%1."/>
      <w:lvlJc w:val="left"/>
      <w:pPr>
        <w:ind w:left="720" w:hanging="360"/>
      </w:pPr>
      <w:rPr>
        <w:rFonts w:cs="Times New Roman" w:hint="default"/>
        <w:b/>
        <w:bCs/>
      </w:rPr>
    </w:lvl>
    <w:lvl w:ilvl="1">
      <w:start w:val="6"/>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638248FA"/>
    <w:multiLevelType w:val="hybridMultilevel"/>
    <w:tmpl w:val="48EE50F6"/>
    <w:lvl w:ilvl="0" w:tplc="635C26A0">
      <w:start w:val="1"/>
      <w:numFmt w:val="bullet"/>
      <w:pStyle w:val="bullets"/>
      <w:lvlText w:val=""/>
      <w:lvlJc w:val="left"/>
      <w:pPr>
        <w:ind w:left="786"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4E72E89"/>
    <w:multiLevelType w:val="hybridMultilevel"/>
    <w:tmpl w:val="170C9EF6"/>
    <w:lvl w:ilvl="0" w:tplc="E0A8269E">
      <w:start w:val="1"/>
      <w:numFmt w:val="bullet"/>
      <w:lvlText w:val="•"/>
      <w:lvlJc w:val="left"/>
      <w:pPr>
        <w:tabs>
          <w:tab w:val="num" w:pos="720"/>
        </w:tabs>
        <w:ind w:left="720" w:hanging="360"/>
      </w:pPr>
      <w:rPr>
        <w:rFonts w:ascii="Arial" w:hAnsi="Arial" w:hint="default"/>
      </w:rPr>
    </w:lvl>
    <w:lvl w:ilvl="1" w:tplc="EF264CD0" w:tentative="1">
      <w:start w:val="1"/>
      <w:numFmt w:val="bullet"/>
      <w:lvlText w:val="•"/>
      <w:lvlJc w:val="left"/>
      <w:pPr>
        <w:tabs>
          <w:tab w:val="num" w:pos="1440"/>
        </w:tabs>
        <w:ind w:left="1440" w:hanging="360"/>
      </w:pPr>
      <w:rPr>
        <w:rFonts w:ascii="Arial" w:hAnsi="Arial" w:hint="default"/>
      </w:rPr>
    </w:lvl>
    <w:lvl w:ilvl="2" w:tplc="2424E3A0" w:tentative="1">
      <w:start w:val="1"/>
      <w:numFmt w:val="bullet"/>
      <w:lvlText w:val="•"/>
      <w:lvlJc w:val="left"/>
      <w:pPr>
        <w:tabs>
          <w:tab w:val="num" w:pos="2160"/>
        </w:tabs>
        <w:ind w:left="2160" w:hanging="360"/>
      </w:pPr>
      <w:rPr>
        <w:rFonts w:ascii="Arial" w:hAnsi="Arial" w:hint="default"/>
      </w:rPr>
    </w:lvl>
    <w:lvl w:ilvl="3" w:tplc="2646A9AC" w:tentative="1">
      <w:start w:val="1"/>
      <w:numFmt w:val="bullet"/>
      <w:lvlText w:val="•"/>
      <w:lvlJc w:val="left"/>
      <w:pPr>
        <w:tabs>
          <w:tab w:val="num" w:pos="2880"/>
        </w:tabs>
        <w:ind w:left="2880" w:hanging="360"/>
      </w:pPr>
      <w:rPr>
        <w:rFonts w:ascii="Arial" w:hAnsi="Arial" w:hint="default"/>
      </w:rPr>
    </w:lvl>
    <w:lvl w:ilvl="4" w:tplc="B3FEC7BC" w:tentative="1">
      <w:start w:val="1"/>
      <w:numFmt w:val="bullet"/>
      <w:lvlText w:val="•"/>
      <w:lvlJc w:val="left"/>
      <w:pPr>
        <w:tabs>
          <w:tab w:val="num" w:pos="3600"/>
        </w:tabs>
        <w:ind w:left="3600" w:hanging="360"/>
      </w:pPr>
      <w:rPr>
        <w:rFonts w:ascii="Arial" w:hAnsi="Arial" w:hint="default"/>
      </w:rPr>
    </w:lvl>
    <w:lvl w:ilvl="5" w:tplc="2ECA7790" w:tentative="1">
      <w:start w:val="1"/>
      <w:numFmt w:val="bullet"/>
      <w:lvlText w:val="•"/>
      <w:lvlJc w:val="left"/>
      <w:pPr>
        <w:tabs>
          <w:tab w:val="num" w:pos="4320"/>
        </w:tabs>
        <w:ind w:left="4320" w:hanging="360"/>
      </w:pPr>
      <w:rPr>
        <w:rFonts w:ascii="Arial" w:hAnsi="Arial" w:hint="default"/>
      </w:rPr>
    </w:lvl>
    <w:lvl w:ilvl="6" w:tplc="2A00CD64" w:tentative="1">
      <w:start w:val="1"/>
      <w:numFmt w:val="bullet"/>
      <w:lvlText w:val="•"/>
      <w:lvlJc w:val="left"/>
      <w:pPr>
        <w:tabs>
          <w:tab w:val="num" w:pos="5040"/>
        </w:tabs>
        <w:ind w:left="5040" w:hanging="360"/>
      </w:pPr>
      <w:rPr>
        <w:rFonts w:ascii="Arial" w:hAnsi="Arial" w:hint="default"/>
      </w:rPr>
    </w:lvl>
    <w:lvl w:ilvl="7" w:tplc="F6D863C2" w:tentative="1">
      <w:start w:val="1"/>
      <w:numFmt w:val="bullet"/>
      <w:lvlText w:val="•"/>
      <w:lvlJc w:val="left"/>
      <w:pPr>
        <w:tabs>
          <w:tab w:val="num" w:pos="5760"/>
        </w:tabs>
        <w:ind w:left="5760" w:hanging="360"/>
      </w:pPr>
      <w:rPr>
        <w:rFonts w:ascii="Arial" w:hAnsi="Arial" w:hint="default"/>
      </w:rPr>
    </w:lvl>
    <w:lvl w:ilvl="8" w:tplc="854C29F8" w:tentative="1">
      <w:start w:val="1"/>
      <w:numFmt w:val="bullet"/>
      <w:lvlText w:val="•"/>
      <w:lvlJc w:val="left"/>
      <w:pPr>
        <w:tabs>
          <w:tab w:val="num" w:pos="6480"/>
        </w:tabs>
        <w:ind w:left="6480" w:hanging="360"/>
      </w:pPr>
      <w:rPr>
        <w:rFonts w:ascii="Arial" w:hAnsi="Arial" w:hint="default"/>
      </w:rPr>
    </w:lvl>
  </w:abstractNum>
  <w:abstractNum w:abstractNumId="14">
    <w:nsid w:val="6E1A29BF"/>
    <w:multiLevelType w:val="multilevel"/>
    <w:tmpl w:val="1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2988"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70280734"/>
    <w:multiLevelType w:val="hybridMultilevel"/>
    <w:tmpl w:val="1D92E894"/>
    <w:lvl w:ilvl="0" w:tplc="027CB400">
      <w:start w:val="1"/>
      <w:numFmt w:val="bullet"/>
      <w:lvlText w:val="•"/>
      <w:lvlJc w:val="left"/>
      <w:pPr>
        <w:tabs>
          <w:tab w:val="num" w:pos="720"/>
        </w:tabs>
        <w:ind w:left="720" w:hanging="360"/>
      </w:pPr>
      <w:rPr>
        <w:rFonts w:ascii="Arial" w:hAnsi="Arial" w:hint="default"/>
      </w:rPr>
    </w:lvl>
    <w:lvl w:ilvl="1" w:tplc="E2E86EFE" w:tentative="1">
      <w:start w:val="1"/>
      <w:numFmt w:val="bullet"/>
      <w:lvlText w:val="•"/>
      <w:lvlJc w:val="left"/>
      <w:pPr>
        <w:tabs>
          <w:tab w:val="num" w:pos="1440"/>
        </w:tabs>
        <w:ind w:left="1440" w:hanging="360"/>
      </w:pPr>
      <w:rPr>
        <w:rFonts w:ascii="Arial" w:hAnsi="Arial" w:hint="default"/>
      </w:rPr>
    </w:lvl>
    <w:lvl w:ilvl="2" w:tplc="719CEC62" w:tentative="1">
      <w:start w:val="1"/>
      <w:numFmt w:val="bullet"/>
      <w:lvlText w:val="•"/>
      <w:lvlJc w:val="left"/>
      <w:pPr>
        <w:tabs>
          <w:tab w:val="num" w:pos="2160"/>
        </w:tabs>
        <w:ind w:left="2160" w:hanging="360"/>
      </w:pPr>
      <w:rPr>
        <w:rFonts w:ascii="Arial" w:hAnsi="Arial" w:hint="default"/>
      </w:rPr>
    </w:lvl>
    <w:lvl w:ilvl="3" w:tplc="2B9674D8" w:tentative="1">
      <w:start w:val="1"/>
      <w:numFmt w:val="bullet"/>
      <w:lvlText w:val="•"/>
      <w:lvlJc w:val="left"/>
      <w:pPr>
        <w:tabs>
          <w:tab w:val="num" w:pos="2880"/>
        </w:tabs>
        <w:ind w:left="2880" w:hanging="360"/>
      </w:pPr>
      <w:rPr>
        <w:rFonts w:ascii="Arial" w:hAnsi="Arial" w:hint="default"/>
      </w:rPr>
    </w:lvl>
    <w:lvl w:ilvl="4" w:tplc="13621B48" w:tentative="1">
      <w:start w:val="1"/>
      <w:numFmt w:val="bullet"/>
      <w:lvlText w:val="•"/>
      <w:lvlJc w:val="left"/>
      <w:pPr>
        <w:tabs>
          <w:tab w:val="num" w:pos="3600"/>
        </w:tabs>
        <w:ind w:left="3600" w:hanging="360"/>
      </w:pPr>
      <w:rPr>
        <w:rFonts w:ascii="Arial" w:hAnsi="Arial" w:hint="default"/>
      </w:rPr>
    </w:lvl>
    <w:lvl w:ilvl="5" w:tplc="F5A8D274" w:tentative="1">
      <w:start w:val="1"/>
      <w:numFmt w:val="bullet"/>
      <w:lvlText w:val="•"/>
      <w:lvlJc w:val="left"/>
      <w:pPr>
        <w:tabs>
          <w:tab w:val="num" w:pos="4320"/>
        </w:tabs>
        <w:ind w:left="4320" w:hanging="360"/>
      </w:pPr>
      <w:rPr>
        <w:rFonts w:ascii="Arial" w:hAnsi="Arial" w:hint="default"/>
      </w:rPr>
    </w:lvl>
    <w:lvl w:ilvl="6" w:tplc="414C9260" w:tentative="1">
      <w:start w:val="1"/>
      <w:numFmt w:val="bullet"/>
      <w:lvlText w:val="•"/>
      <w:lvlJc w:val="left"/>
      <w:pPr>
        <w:tabs>
          <w:tab w:val="num" w:pos="5040"/>
        </w:tabs>
        <w:ind w:left="5040" w:hanging="360"/>
      </w:pPr>
      <w:rPr>
        <w:rFonts w:ascii="Arial" w:hAnsi="Arial" w:hint="default"/>
      </w:rPr>
    </w:lvl>
    <w:lvl w:ilvl="7" w:tplc="0BC03686" w:tentative="1">
      <w:start w:val="1"/>
      <w:numFmt w:val="bullet"/>
      <w:lvlText w:val="•"/>
      <w:lvlJc w:val="left"/>
      <w:pPr>
        <w:tabs>
          <w:tab w:val="num" w:pos="5760"/>
        </w:tabs>
        <w:ind w:left="5760" w:hanging="360"/>
      </w:pPr>
      <w:rPr>
        <w:rFonts w:ascii="Arial" w:hAnsi="Arial" w:hint="default"/>
      </w:rPr>
    </w:lvl>
    <w:lvl w:ilvl="8" w:tplc="1E46CA08" w:tentative="1">
      <w:start w:val="1"/>
      <w:numFmt w:val="bullet"/>
      <w:lvlText w:val="•"/>
      <w:lvlJc w:val="left"/>
      <w:pPr>
        <w:tabs>
          <w:tab w:val="num" w:pos="6480"/>
        </w:tabs>
        <w:ind w:left="6480" w:hanging="360"/>
      </w:pPr>
      <w:rPr>
        <w:rFonts w:ascii="Arial" w:hAnsi="Arial" w:hint="default"/>
      </w:rPr>
    </w:lvl>
  </w:abstractNum>
  <w:abstractNum w:abstractNumId="16">
    <w:nsid w:val="75365DAB"/>
    <w:multiLevelType w:val="hybridMultilevel"/>
    <w:tmpl w:val="581455DC"/>
    <w:lvl w:ilvl="0" w:tplc="BE24E00C">
      <w:start w:val="2"/>
      <w:numFmt w:val="upperLetter"/>
      <w:lvlText w:val="%1)"/>
      <w:lvlJc w:val="left"/>
      <w:pPr>
        <w:ind w:left="720" w:hanging="360"/>
      </w:pPr>
      <w:rPr>
        <w:rFonts w:ascii="Times New Roman" w:eastAsia="SimSu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CD84B24"/>
    <w:multiLevelType w:val="multilevel"/>
    <w:tmpl w:val="96C8142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720"/>
      </w:pPr>
      <w:rPr>
        <w:rFonts w:ascii="Arial Narrow" w:hAnsi="Arial Narrow"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7"/>
  </w:num>
  <w:num w:numId="2">
    <w:abstractNumId w:val="6"/>
  </w:num>
  <w:num w:numId="3">
    <w:abstractNumId w:val="5"/>
  </w:num>
  <w:num w:numId="4">
    <w:abstractNumId w:val="8"/>
  </w:num>
  <w:num w:numId="5">
    <w:abstractNumId w:val="1"/>
  </w:num>
  <w:num w:numId="6">
    <w:abstractNumId w:val="2"/>
  </w:num>
  <w:num w:numId="7">
    <w:abstractNumId w:val="11"/>
  </w:num>
  <w:num w:numId="8">
    <w:abstractNumId w:val="16"/>
  </w:num>
  <w:num w:numId="9">
    <w:abstractNumId w:val="7"/>
  </w:num>
  <w:num w:numId="10">
    <w:abstractNumId w:val="10"/>
  </w:num>
  <w:num w:numId="11">
    <w:abstractNumId w:val="4"/>
  </w:num>
  <w:num w:numId="12">
    <w:abstractNumId w:val="0"/>
  </w:num>
  <w:num w:numId="13">
    <w:abstractNumId w:val="15"/>
  </w:num>
  <w:num w:numId="14">
    <w:abstractNumId w:val="13"/>
  </w:num>
  <w:num w:numId="15">
    <w:abstractNumId w:val="3"/>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14A"/>
    <w:rsid w:val="00006605"/>
    <w:rsid w:val="00007929"/>
    <w:rsid w:val="00007A4D"/>
    <w:rsid w:val="000143C4"/>
    <w:rsid w:val="00036AF3"/>
    <w:rsid w:val="00041096"/>
    <w:rsid w:val="00075558"/>
    <w:rsid w:val="00082058"/>
    <w:rsid w:val="000828DB"/>
    <w:rsid w:val="0009666F"/>
    <w:rsid w:val="000A0C61"/>
    <w:rsid w:val="000A3786"/>
    <w:rsid w:val="000A3DB2"/>
    <w:rsid w:val="000A66FC"/>
    <w:rsid w:val="000C7658"/>
    <w:rsid w:val="000D1F6C"/>
    <w:rsid w:val="000F0CEA"/>
    <w:rsid w:val="000F6FA8"/>
    <w:rsid w:val="000F73C1"/>
    <w:rsid w:val="00103BF9"/>
    <w:rsid w:val="00110381"/>
    <w:rsid w:val="00126E90"/>
    <w:rsid w:val="001530CB"/>
    <w:rsid w:val="0015491D"/>
    <w:rsid w:val="001762E5"/>
    <w:rsid w:val="001814EF"/>
    <w:rsid w:val="0019269F"/>
    <w:rsid w:val="00195F57"/>
    <w:rsid w:val="00196559"/>
    <w:rsid w:val="001A25F0"/>
    <w:rsid w:val="001B02E3"/>
    <w:rsid w:val="001B2E48"/>
    <w:rsid w:val="001D02D7"/>
    <w:rsid w:val="001D1C35"/>
    <w:rsid w:val="0020149C"/>
    <w:rsid w:val="00202536"/>
    <w:rsid w:val="00223260"/>
    <w:rsid w:val="00232627"/>
    <w:rsid w:val="00244A2D"/>
    <w:rsid w:val="0025005B"/>
    <w:rsid w:val="00256009"/>
    <w:rsid w:val="002560B5"/>
    <w:rsid w:val="0026643C"/>
    <w:rsid w:val="002747E9"/>
    <w:rsid w:val="00280E3A"/>
    <w:rsid w:val="002878E5"/>
    <w:rsid w:val="00292EB0"/>
    <w:rsid w:val="002975B4"/>
    <w:rsid w:val="002A648A"/>
    <w:rsid w:val="002B3A88"/>
    <w:rsid w:val="002B57EB"/>
    <w:rsid w:val="002B5B41"/>
    <w:rsid w:val="002C6FE6"/>
    <w:rsid w:val="002C74B5"/>
    <w:rsid w:val="002D0501"/>
    <w:rsid w:val="002D4A41"/>
    <w:rsid w:val="002F0FE1"/>
    <w:rsid w:val="003070B9"/>
    <w:rsid w:val="00311CCB"/>
    <w:rsid w:val="00312780"/>
    <w:rsid w:val="00324778"/>
    <w:rsid w:val="0033120A"/>
    <w:rsid w:val="00336587"/>
    <w:rsid w:val="00346BBC"/>
    <w:rsid w:val="003507BB"/>
    <w:rsid w:val="003541AC"/>
    <w:rsid w:val="00356F85"/>
    <w:rsid w:val="00362F49"/>
    <w:rsid w:val="00367F89"/>
    <w:rsid w:val="00370FE0"/>
    <w:rsid w:val="00391C5F"/>
    <w:rsid w:val="003A1240"/>
    <w:rsid w:val="003A258E"/>
    <w:rsid w:val="003D5E4E"/>
    <w:rsid w:val="003E3836"/>
    <w:rsid w:val="003E50C9"/>
    <w:rsid w:val="003F1270"/>
    <w:rsid w:val="003F172C"/>
    <w:rsid w:val="003F6511"/>
    <w:rsid w:val="00404DC6"/>
    <w:rsid w:val="00414917"/>
    <w:rsid w:val="00417A66"/>
    <w:rsid w:val="00426B50"/>
    <w:rsid w:val="00430466"/>
    <w:rsid w:val="00431106"/>
    <w:rsid w:val="004332C5"/>
    <w:rsid w:val="00444908"/>
    <w:rsid w:val="00453E1C"/>
    <w:rsid w:val="004606F0"/>
    <w:rsid w:val="004733F6"/>
    <w:rsid w:val="00473CEE"/>
    <w:rsid w:val="004838D2"/>
    <w:rsid w:val="00491F6A"/>
    <w:rsid w:val="00492677"/>
    <w:rsid w:val="00493324"/>
    <w:rsid w:val="004A2340"/>
    <w:rsid w:val="004A7E96"/>
    <w:rsid w:val="004B0D72"/>
    <w:rsid w:val="004B30FC"/>
    <w:rsid w:val="004D7D4B"/>
    <w:rsid w:val="004E3D52"/>
    <w:rsid w:val="004E6EC8"/>
    <w:rsid w:val="00501C48"/>
    <w:rsid w:val="00506774"/>
    <w:rsid w:val="00506B48"/>
    <w:rsid w:val="0051119E"/>
    <w:rsid w:val="00511927"/>
    <w:rsid w:val="00512B52"/>
    <w:rsid w:val="00516A9F"/>
    <w:rsid w:val="00517649"/>
    <w:rsid w:val="005178C3"/>
    <w:rsid w:val="00525214"/>
    <w:rsid w:val="00544CAC"/>
    <w:rsid w:val="00552326"/>
    <w:rsid w:val="00557018"/>
    <w:rsid w:val="00564C20"/>
    <w:rsid w:val="005772CD"/>
    <w:rsid w:val="00580922"/>
    <w:rsid w:val="005C125E"/>
    <w:rsid w:val="005D1F83"/>
    <w:rsid w:val="005D7E1F"/>
    <w:rsid w:val="005E3028"/>
    <w:rsid w:val="005F0958"/>
    <w:rsid w:val="00600A1A"/>
    <w:rsid w:val="006011BF"/>
    <w:rsid w:val="00623639"/>
    <w:rsid w:val="006419DB"/>
    <w:rsid w:val="00643504"/>
    <w:rsid w:val="00645C63"/>
    <w:rsid w:val="00650672"/>
    <w:rsid w:val="00650AA5"/>
    <w:rsid w:val="006601E3"/>
    <w:rsid w:val="00664BD1"/>
    <w:rsid w:val="00671ADA"/>
    <w:rsid w:val="00687AC3"/>
    <w:rsid w:val="00696E52"/>
    <w:rsid w:val="006A06F8"/>
    <w:rsid w:val="006A3084"/>
    <w:rsid w:val="006B2AD8"/>
    <w:rsid w:val="006D27DA"/>
    <w:rsid w:val="006E0212"/>
    <w:rsid w:val="006E79F3"/>
    <w:rsid w:val="006E7E4F"/>
    <w:rsid w:val="006F1D00"/>
    <w:rsid w:val="006F389A"/>
    <w:rsid w:val="006F53F4"/>
    <w:rsid w:val="00710183"/>
    <w:rsid w:val="0073334E"/>
    <w:rsid w:val="00735E85"/>
    <w:rsid w:val="00743F89"/>
    <w:rsid w:val="00761E96"/>
    <w:rsid w:val="00761FA6"/>
    <w:rsid w:val="007639E0"/>
    <w:rsid w:val="007713D7"/>
    <w:rsid w:val="0077164A"/>
    <w:rsid w:val="00776202"/>
    <w:rsid w:val="00791EEA"/>
    <w:rsid w:val="007A253C"/>
    <w:rsid w:val="007B00D6"/>
    <w:rsid w:val="007C6DFD"/>
    <w:rsid w:val="007E7778"/>
    <w:rsid w:val="007F0774"/>
    <w:rsid w:val="007F51F8"/>
    <w:rsid w:val="00810632"/>
    <w:rsid w:val="00811574"/>
    <w:rsid w:val="00837C67"/>
    <w:rsid w:val="00855B61"/>
    <w:rsid w:val="00866ECA"/>
    <w:rsid w:val="00874F70"/>
    <w:rsid w:val="008760DA"/>
    <w:rsid w:val="00891A52"/>
    <w:rsid w:val="00894356"/>
    <w:rsid w:val="008A594B"/>
    <w:rsid w:val="008B6161"/>
    <w:rsid w:val="008B780C"/>
    <w:rsid w:val="008C78F9"/>
    <w:rsid w:val="008D1AC2"/>
    <w:rsid w:val="008D5D24"/>
    <w:rsid w:val="008F18B8"/>
    <w:rsid w:val="008F6949"/>
    <w:rsid w:val="009025E9"/>
    <w:rsid w:val="00902ADC"/>
    <w:rsid w:val="009155A1"/>
    <w:rsid w:val="009236B4"/>
    <w:rsid w:val="00933AAE"/>
    <w:rsid w:val="009454C9"/>
    <w:rsid w:val="009654A8"/>
    <w:rsid w:val="00976F5E"/>
    <w:rsid w:val="00997699"/>
    <w:rsid w:val="009A3EF6"/>
    <w:rsid w:val="009C0A24"/>
    <w:rsid w:val="009C5A62"/>
    <w:rsid w:val="009F1961"/>
    <w:rsid w:val="00A42CAB"/>
    <w:rsid w:val="00A634BE"/>
    <w:rsid w:val="00A71225"/>
    <w:rsid w:val="00A80206"/>
    <w:rsid w:val="00AA2D08"/>
    <w:rsid w:val="00AA683D"/>
    <w:rsid w:val="00AC0714"/>
    <w:rsid w:val="00AC0DC5"/>
    <w:rsid w:val="00AC37B3"/>
    <w:rsid w:val="00AD166B"/>
    <w:rsid w:val="00AD5FB1"/>
    <w:rsid w:val="00AD667C"/>
    <w:rsid w:val="00AD746D"/>
    <w:rsid w:val="00AD76AE"/>
    <w:rsid w:val="00AD7DA5"/>
    <w:rsid w:val="00AE3F68"/>
    <w:rsid w:val="00AF1062"/>
    <w:rsid w:val="00AF3A65"/>
    <w:rsid w:val="00B07DA8"/>
    <w:rsid w:val="00B109A6"/>
    <w:rsid w:val="00B1293E"/>
    <w:rsid w:val="00B178C9"/>
    <w:rsid w:val="00B446F5"/>
    <w:rsid w:val="00B627C8"/>
    <w:rsid w:val="00B62AF1"/>
    <w:rsid w:val="00B6717C"/>
    <w:rsid w:val="00B71C66"/>
    <w:rsid w:val="00B73622"/>
    <w:rsid w:val="00B736DC"/>
    <w:rsid w:val="00B861F0"/>
    <w:rsid w:val="00B9026C"/>
    <w:rsid w:val="00B939AA"/>
    <w:rsid w:val="00B97C23"/>
    <w:rsid w:val="00BA5718"/>
    <w:rsid w:val="00BB5608"/>
    <w:rsid w:val="00BD42B3"/>
    <w:rsid w:val="00BD7E6F"/>
    <w:rsid w:val="00BE314A"/>
    <w:rsid w:val="00BE7D11"/>
    <w:rsid w:val="00C040C1"/>
    <w:rsid w:val="00C34A46"/>
    <w:rsid w:val="00C6714D"/>
    <w:rsid w:val="00C726B0"/>
    <w:rsid w:val="00C73099"/>
    <w:rsid w:val="00CA372C"/>
    <w:rsid w:val="00CA60EB"/>
    <w:rsid w:val="00CC5BA6"/>
    <w:rsid w:val="00CC6CC7"/>
    <w:rsid w:val="00CF338C"/>
    <w:rsid w:val="00CF775A"/>
    <w:rsid w:val="00D05BD3"/>
    <w:rsid w:val="00D13498"/>
    <w:rsid w:val="00D14A73"/>
    <w:rsid w:val="00D14EF7"/>
    <w:rsid w:val="00D22796"/>
    <w:rsid w:val="00D3039F"/>
    <w:rsid w:val="00D33A62"/>
    <w:rsid w:val="00D35472"/>
    <w:rsid w:val="00D35F34"/>
    <w:rsid w:val="00D5120A"/>
    <w:rsid w:val="00D55752"/>
    <w:rsid w:val="00D57759"/>
    <w:rsid w:val="00D57A8B"/>
    <w:rsid w:val="00D60698"/>
    <w:rsid w:val="00D74243"/>
    <w:rsid w:val="00D81C73"/>
    <w:rsid w:val="00D82604"/>
    <w:rsid w:val="00D876C1"/>
    <w:rsid w:val="00D90CE8"/>
    <w:rsid w:val="00D95A38"/>
    <w:rsid w:val="00D96182"/>
    <w:rsid w:val="00DB739E"/>
    <w:rsid w:val="00DC3331"/>
    <w:rsid w:val="00DC6986"/>
    <w:rsid w:val="00DD49E9"/>
    <w:rsid w:val="00DE3D38"/>
    <w:rsid w:val="00DF379E"/>
    <w:rsid w:val="00E079A2"/>
    <w:rsid w:val="00E14794"/>
    <w:rsid w:val="00E33559"/>
    <w:rsid w:val="00E4013D"/>
    <w:rsid w:val="00E42185"/>
    <w:rsid w:val="00E463E1"/>
    <w:rsid w:val="00E51FF8"/>
    <w:rsid w:val="00E57F59"/>
    <w:rsid w:val="00E81E17"/>
    <w:rsid w:val="00E8579F"/>
    <w:rsid w:val="00EB2F67"/>
    <w:rsid w:val="00ED4A8F"/>
    <w:rsid w:val="00ED4B0A"/>
    <w:rsid w:val="00ED4F83"/>
    <w:rsid w:val="00EE2603"/>
    <w:rsid w:val="00EE5645"/>
    <w:rsid w:val="00EF72D8"/>
    <w:rsid w:val="00F0186D"/>
    <w:rsid w:val="00F0298A"/>
    <w:rsid w:val="00F06CD8"/>
    <w:rsid w:val="00F2247B"/>
    <w:rsid w:val="00F23B19"/>
    <w:rsid w:val="00F246BF"/>
    <w:rsid w:val="00F33EEE"/>
    <w:rsid w:val="00F34202"/>
    <w:rsid w:val="00F4270E"/>
    <w:rsid w:val="00F5392D"/>
    <w:rsid w:val="00F7033D"/>
    <w:rsid w:val="00F72EFC"/>
    <w:rsid w:val="00F74DD2"/>
    <w:rsid w:val="00F80084"/>
    <w:rsid w:val="00F821AD"/>
    <w:rsid w:val="00F93773"/>
    <w:rsid w:val="00F94DA4"/>
    <w:rsid w:val="00FC719B"/>
    <w:rsid w:val="00FD3C5E"/>
    <w:rsid w:val="00FD64A8"/>
    <w:rsid w:val="00FE7BB6"/>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1BF"/>
    <w:pPr>
      <w:spacing w:after="200" w:line="276" w:lineRule="auto"/>
    </w:pPr>
    <w:rPr>
      <w:lang w:val="en-GB"/>
    </w:rPr>
  </w:style>
  <w:style w:type="paragraph" w:styleId="Heading1">
    <w:name w:val="heading 1"/>
    <w:basedOn w:val="Normal"/>
    <w:next w:val="BodyText"/>
    <w:link w:val="Heading1Char"/>
    <w:uiPriority w:val="99"/>
    <w:qFormat/>
    <w:rsid w:val="006E7E4F"/>
    <w:pPr>
      <w:keepNext/>
      <w:pageBreakBefore/>
      <w:numPr>
        <w:numId w:val="17"/>
      </w:numPr>
      <w:spacing w:before="180" w:after="240" w:line="24" w:lineRule="atLeast"/>
      <w:jc w:val="both"/>
      <w:outlineLvl w:val="0"/>
    </w:pPr>
    <w:rPr>
      <w:rFonts w:ascii="Times New Roman Bold" w:eastAsia="Times New Roman" w:hAnsi="Times New Roman Bold"/>
      <w:b/>
      <w:iCs/>
      <w:caps/>
      <w:szCs w:val="24"/>
    </w:rPr>
  </w:style>
  <w:style w:type="paragraph" w:styleId="Heading2">
    <w:name w:val="heading 2"/>
    <w:basedOn w:val="Normal"/>
    <w:next w:val="Normal"/>
    <w:link w:val="Heading2Char"/>
    <w:uiPriority w:val="99"/>
    <w:qFormat/>
    <w:rsid w:val="006E7E4F"/>
    <w:pPr>
      <w:keepNext/>
      <w:numPr>
        <w:ilvl w:val="1"/>
        <w:numId w:val="17"/>
      </w:numPr>
      <w:spacing w:before="360" w:after="240" w:line="24" w:lineRule="atLeast"/>
      <w:jc w:val="both"/>
      <w:outlineLvl w:val="1"/>
    </w:pPr>
    <w:rPr>
      <w:rFonts w:ascii="Times New Roman" w:eastAsia="Times New Roman" w:hAnsi="Times New Roman"/>
      <w:b/>
      <w:iCs/>
      <w:szCs w:val="24"/>
    </w:rPr>
  </w:style>
  <w:style w:type="paragraph" w:styleId="Heading3">
    <w:name w:val="heading 3"/>
    <w:basedOn w:val="Normal"/>
    <w:next w:val="Normal"/>
    <w:link w:val="Heading3Char"/>
    <w:uiPriority w:val="99"/>
    <w:qFormat/>
    <w:rsid w:val="006E7E4F"/>
    <w:pPr>
      <w:keepNext/>
      <w:numPr>
        <w:ilvl w:val="2"/>
        <w:numId w:val="17"/>
      </w:numPr>
      <w:spacing w:before="120" w:after="120" w:line="24" w:lineRule="atLeast"/>
      <w:ind w:left="720"/>
      <w:outlineLvl w:val="2"/>
    </w:pPr>
    <w:rPr>
      <w:rFonts w:ascii="Times New Roman" w:eastAsia="Times New Roman" w:hAnsi="Times New Roman"/>
      <w:bCs/>
      <w:i/>
      <w:szCs w:val="24"/>
    </w:rPr>
  </w:style>
  <w:style w:type="paragraph" w:styleId="Heading4">
    <w:name w:val="heading 4"/>
    <w:basedOn w:val="Heading3"/>
    <w:next w:val="Normal"/>
    <w:link w:val="Heading4Char"/>
    <w:uiPriority w:val="99"/>
    <w:qFormat/>
    <w:rsid w:val="006E7E4F"/>
    <w:pPr>
      <w:numPr>
        <w:ilvl w:val="3"/>
      </w:numPr>
      <w:spacing w:before="240"/>
      <w:outlineLvl w:val="3"/>
    </w:pPr>
    <w:rPr>
      <w:bCs w:val="0"/>
      <w:szCs w:val="28"/>
    </w:rPr>
  </w:style>
  <w:style w:type="paragraph" w:styleId="Heading5">
    <w:name w:val="heading 5"/>
    <w:basedOn w:val="Normal"/>
    <w:next w:val="Normal"/>
    <w:link w:val="Heading5Char"/>
    <w:uiPriority w:val="99"/>
    <w:qFormat/>
    <w:rsid w:val="006E7E4F"/>
    <w:pPr>
      <w:numPr>
        <w:ilvl w:val="4"/>
        <w:numId w:val="17"/>
      </w:numPr>
      <w:spacing w:before="240" w:after="60" w:line="24" w:lineRule="atLeast"/>
      <w:jc w:val="both"/>
      <w:outlineLvl w:val="4"/>
    </w:pPr>
    <w:rPr>
      <w:rFonts w:ascii="Times New Roman" w:eastAsia="Times New Roman" w:hAnsi="Times New Roman"/>
      <w:bCs/>
      <w:i/>
      <w:iCs/>
      <w:szCs w:val="26"/>
    </w:rPr>
  </w:style>
  <w:style w:type="paragraph" w:styleId="Heading6">
    <w:name w:val="heading 6"/>
    <w:basedOn w:val="Normal"/>
    <w:next w:val="Normal"/>
    <w:link w:val="Heading6Char"/>
    <w:uiPriority w:val="99"/>
    <w:qFormat/>
    <w:rsid w:val="006E7E4F"/>
    <w:pPr>
      <w:numPr>
        <w:ilvl w:val="5"/>
        <w:numId w:val="17"/>
      </w:numPr>
      <w:spacing w:before="240" w:after="60" w:line="24" w:lineRule="atLeast"/>
      <w:jc w:val="both"/>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E7E4F"/>
    <w:pPr>
      <w:numPr>
        <w:ilvl w:val="6"/>
        <w:numId w:val="17"/>
      </w:numPr>
      <w:spacing w:before="240" w:after="60" w:line="24" w:lineRule="atLeast"/>
      <w:jc w:val="both"/>
      <w:outlineLvl w:val="6"/>
    </w:pPr>
    <w:rPr>
      <w:rFonts w:ascii="Times New Roman" w:eastAsia="Times New Roman" w:hAnsi="Times New Roman"/>
      <w:szCs w:val="24"/>
    </w:rPr>
  </w:style>
  <w:style w:type="paragraph" w:styleId="Heading8">
    <w:name w:val="heading 8"/>
    <w:basedOn w:val="Normal"/>
    <w:next w:val="Normal"/>
    <w:link w:val="Heading8Char"/>
    <w:uiPriority w:val="99"/>
    <w:qFormat/>
    <w:rsid w:val="006E7E4F"/>
    <w:pPr>
      <w:numPr>
        <w:ilvl w:val="7"/>
        <w:numId w:val="17"/>
      </w:numPr>
      <w:spacing w:before="240" w:after="60" w:line="24" w:lineRule="atLeast"/>
      <w:jc w:val="both"/>
      <w:outlineLvl w:val="7"/>
    </w:pPr>
    <w:rPr>
      <w:rFonts w:ascii="Times New Roman" w:eastAsia="Times New Roman" w:hAnsi="Times New Roman"/>
      <w:i/>
      <w:iCs/>
      <w:szCs w:val="24"/>
    </w:rPr>
  </w:style>
  <w:style w:type="paragraph" w:styleId="Heading9">
    <w:name w:val="heading 9"/>
    <w:basedOn w:val="Normal"/>
    <w:next w:val="Normal"/>
    <w:link w:val="Heading9Char"/>
    <w:uiPriority w:val="99"/>
    <w:qFormat/>
    <w:rsid w:val="006E7E4F"/>
    <w:pPr>
      <w:numPr>
        <w:ilvl w:val="8"/>
        <w:numId w:val="17"/>
      </w:numPr>
      <w:spacing w:before="240" w:after="60" w:line="24"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E4F"/>
    <w:rPr>
      <w:rFonts w:ascii="Times New Roman Bold" w:hAnsi="Times New Roman Bold" w:cs="Times New Roman"/>
      <w:b/>
      <w:iCs/>
      <w:caps/>
      <w:sz w:val="24"/>
      <w:szCs w:val="24"/>
      <w:lang w:val="en-GB" w:eastAsia="en-US"/>
    </w:rPr>
  </w:style>
  <w:style w:type="character" w:customStyle="1" w:styleId="Heading2Char">
    <w:name w:val="Heading 2 Char"/>
    <w:basedOn w:val="DefaultParagraphFont"/>
    <w:link w:val="Heading2"/>
    <w:uiPriority w:val="99"/>
    <w:locked/>
    <w:rsid w:val="006E7E4F"/>
    <w:rPr>
      <w:rFonts w:ascii="Times New Roman" w:hAnsi="Times New Roman" w:cs="Times New Roman"/>
      <w:b/>
      <w:iCs/>
      <w:sz w:val="24"/>
      <w:szCs w:val="24"/>
      <w:lang w:val="en-GB" w:eastAsia="en-US"/>
    </w:rPr>
  </w:style>
  <w:style w:type="character" w:customStyle="1" w:styleId="Heading3Char">
    <w:name w:val="Heading 3 Char"/>
    <w:basedOn w:val="DefaultParagraphFont"/>
    <w:link w:val="Heading3"/>
    <w:uiPriority w:val="99"/>
    <w:locked/>
    <w:rsid w:val="006E7E4F"/>
    <w:rPr>
      <w:rFonts w:ascii="Times New Roman" w:hAnsi="Times New Roman" w:cs="Times New Roman"/>
      <w:bCs/>
      <w:i/>
      <w:sz w:val="24"/>
      <w:szCs w:val="24"/>
      <w:lang w:val="en-GB" w:eastAsia="en-US"/>
    </w:rPr>
  </w:style>
  <w:style w:type="character" w:customStyle="1" w:styleId="Heading4Char">
    <w:name w:val="Heading 4 Char"/>
    <w:basedOn w:val="DefaultParagraphFont"/>
    <w:link w:val="Heading4"/>
    <w:uiPriority w:val="99"/>
    <w:locked/>
    <w:rsid w:val="006E7E4F"/>
    <w:rPr>
      <w:rFonts w:ascii="Times New Roman" w:hAnsi="Times New Roman" w:cs="Times New Roman"/>
      <w:i/>
      <w:sz w:val="28"/>
      <w:szCs w:val="28"/>
      <w:lang w:val="en-GB" w:eastAsia="en-US"/>
    </w:rPr>
  </w:style>
  <w:style w:type="character" w:customStyle="1" w:styleId="Heading5Char">
    <w:name w:val="Heading 5 Char"/>
    <w:basedOn w:val="DefaultParagraphFont"/>
    <w:link w:val="Heading5"/>
    <w:uiPriority w:val="99"/>
    <w:locked/>
    <w:rsid w:val="006E7E4F"/>
    <w:rPr>
      <w:rFonts w:ascii="Times New Roman" w:hAnsi="Times New Roman" w:cs="Times New Roman"/>
      <w:bCs/>
      <w:i/>
      <w:iCs/>
      <w:sz w:val="26"/>
      <w:szCs w:val="26"/>
      <w:lang w:val="en-GB" w:eastAsia="en-US"/>
    </w:rPr>
  </w:style>
  <w:style w:type="character" w:customStyle="1" w:styleId="Heading6Char">
    <w:name w:val="Heading 6 Char"/>
    <w:basedOn w:val="DefaultParagraphFont"/>
    <w:link w:val="Heading6"/>
    <w:uiPriority w:val="99"/>
    <w:locked/>
    <w:rsid w:val="006E7E4F"/>
    <w:rPr>
      <w:rFonts w:ascii="Times New Roman" w:hAnsi="Times New Roman" w:cs="Times New Roman"/>
      <w:b/>
      <w:bCs/>
      <w:sz w:val="22"/>
      <w:szCs w:val="22"/>
      <w:lang w:val="en-GB" w:eastAsia="en-US"/>
    </w:rPr>
  </w:style>
  <w:style w:type="character" w:customStyle="1" w:styleId="Heading7Char">
    <w:name w:val="Heading 7 Char"/>
    <w:basedOn w:val="DefaultParagraphFont"/>
    <w:link w:val="Heading7"/>
    <w:uiPriority w:val="99"/>
    <w:locked/>
    <w:rsid w:val="006E7E4F"/>
    <w:rPr>
      <w:rFonts w:ascii="Times New Roman" w:hAnsi="Times New Roman" w:cs="Times New Roman"/>
      <w:sz w:val="24"/>
      <w:szCs w:val="24"/>
      <w:lang w:val="en-GB" w:eastAsia="en-US"/>
    </w:rPr>
  </w:style>
  <w:style w:type="character" w:customStyle="1" w:styleId="Heading8Char">
    <w:name w:val="Heading 8 Char"/>
    <w:basedOn w:val="DefaultParagraphFont"/>
    <w:link w:val="Heading8"/>
    <w:uiPriority w:val="99"/>
    <w:locked/>
    <w:rsid w:val="006E7E4F"/>
    <w:rPr>
      <w:rFonts w:ascii="Times New Roman" w:hAnsi="Times New Roman" w:cs="Times New Roman"/>
      <w:i/>
      <w:iCs/>
      <w:sz w:val="24"/>
      <w:szCs w:val="24"/>
      <w:lang w:val="en-GB" w:eastAsia="en-US"/>
    </w:rPr>
  </w:style>
  <w:style w:type="character" w:customStyle="1" w:styleId="Heading9Char">
    <w:name w:val="Heading 9 Char"/>
    <w:basedOn w:val="DefaultParagraphFont"/>
    <w:link w:val="Heading9"/>
    <w:uiPriority w:val="99"/>
    <w:locked/>
    <w:rsid w:val="006E7E4F"/>
    <w:rPr>
      <w:rFonts w:ascii="Arial" w:hAnsi="Arial" w:cs="Arial"/>
      <w:sz w:val="22"/>
      <w:szCs w:val="22"/>
      <w:lang w:val="en-GB" w:eastAsia="en-US"/>
    </w:rPr>
  </w:style>
  <w:style w:type="paragraph" w:styleId="BalloonText">
    <w:name w:val="Balloon Text"/>
    <w:basedOn w:val="Normal"/>
    <w:link w:val="BalloonTextChar"/>
    <w:uiPriority w:val="99"/>
    <w:semiHidden/>
    <w:rsid w:val="00BE31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E314A"/>
    <w:rPr>
      <w:rFonts w:ascii="Tahoma" w:hAnsi="Tahoma"/>
      <w:sz w:val="16"/>
      <w:lang w:val="en-GB"/>
    </w:rPr>
  </w:style>
  <w:style w:type="paragraph" w:styleId="ListParagraph">
    <w:name w:val="List Paragraph"/>
    <w:basedOn w:val="Normal"/>
    <w:uiPriority w:val="99"/>
    <w:qFormat/>
    <w:rsid w:val="00BE314A"/>
    <w:pPr>
      <w:ind w:left="720"/>
    </w:pPr>
    <w:rPr>
      <w:rFonts w:cs="Calibri"/>
      <w:lang w:val="en-US"/>
    </w:rPr>
  </w:style>
  <w:style w:type="paragraph" w:styleId="BodyText2">
    <w:name w:val="Body Text 2"/>
    <w:basedOn w:val="Normal"/>
    <w:link w:val="BodyText2Char"/>
    <w:uiPriority w:val="99"/>
    <w:rsid w:val="00BE314A"/>
    <w:pPr>
      <w:widowControl w:val="0"/>
      <w:spacing w:after="0" w:line="240" w:lineRule="auto"/>
      <w:jc w:val="both"/>
    </w:pPr>
    <w:rPr>
      <w:rFonts w:ascii="Times New Roman" w:eastAsia="SimSun" w:hAnsi="Times New Roman"/>
      <w:kern w:val="2"/>
      <w:sz w:val="26"/>
      <w:szCs w:val="26"/>
      <w:lang w:val="en-US" w:eastAsia="zh-CN"/>
    </w:rPr>
  </w:style>
  <w:style w:type="character" w:customStyle="1" w:styleId="BodyText2Char">
    <w:name w:val="Body Text 2 Char"/>
    <w:basedOn w:val="DefaultParagraphFont"/>
    <w:link w:val="BodyText2"/>
    <w:uiPriority w:val="99"/>
    <w:locked/>
    <w:rsid w:val="00BE314A"/>
    <w:rPr>
      <w:rFonts w:ascii="Times New Roman" w:eastAsia="SimSun" w:hAnsi="Times New Roman"/>
      <w:kern w:val="2"/>
      <w:sz w:val="26"/>
      <w:lang w:eastAsia="zh-CN"/>
    </w:rPr>
  </w:style>
  <w:style w:type="character" w:styleId="PageNumber">
    <w:name w:val="page number"/>
    <w:basedOn w:val="DefaultParagraphFont"/>
    <w:uiPriority w:val="99"/>
    <w:rsid w:val="00580922"/>
    <w:rPr>
      <w:rFonts w:cs="Times New Roman"/>
    </w:rPr>
  </w:style>
  <w:style w:type="paragraph" w:customStyle="1" w:styleId="Default">
    <w:name w:val="Default"/>
    <w:uiPriority w:val="99"/>
    <w:rsid w:val="00075558"/>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645C6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645C63"/>
    <w:rPr>
      <w:lang w:val="en-GB"/>
    </w:rPr>
  </w:style>
  <w:style w:type="paragraph" w:styleId="Footer">
    <w:name w:val="footer"/>
    <w:basedOn w:val="Normal"/>
    <w:link w:val="FooterChar"/>
    <w:uiPriority w:val="99"/>
    <w:rsid w:val="00645C6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45C63"/>
    <w:rPr>
      <w:lang w:val="en-GB"/>
    </w:rPr>
  </w:style>
  <w:style w:type="paragraph" w:styleId="NoSpacing">
    <w:name w:val="No Spacing"/>
    <w:uiPriority w:val="99"/>
    <w:qFormat/>
    <w:rsid w:val="007C6DFD"/>
    <w:rPr>
      <w:lang w:val="en-GB"/>
    </w:rPr>
  </w:style>
  <w:style w:type="character" w:styleId="Hyperlink">
    <w:name w:val="Hyperlink"/>
    <w:basedOn w:val="DefaultParagraphFont"/>
    <w:uiPriority w:val="99"/>
    <w:rsid w:val="00A634BE"/>
    <w:rPr>
      <w:rFonts w:cs="Times New Roman"/>
      <w:color w:val="0000FF"/>
      <w:u w:val="single"/>
    </w:rPr>
  </w:style>
  <w:style w:type="paragraph" w:styleId="FootnoteText">
    <w:name w:val="footnote text"/>
    <w:aliases w:val="Geneva 9,Font: Geneva 9,Boston 10,f,single space,Footnote,otnote Text,FOOTNOTES,fn,Note de bas de page Car,ft,Footnote Text Char2,Footnote Text Char1 Char,Footnote Text Char Char Char1,Footnote Text Char1 Char Char Char,Fußn"/>
    <w:basedOn w:val="Normal"/>
    <w:link w:val="FootnoteTextChar1"/>
    <w:uiPriority w:val="99"/>
    <w:rsid w:val="00A634BE"/>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OOTNOTES Char,fn Char,Note de bas de page Car Char,ft Char,Footnote Text Char2 Char,Footnote Text Char1 Char Char,Fußn Char"/>
    <w:basedOn w:val="DefaultParagraphFont"/>
    <w:uiPriority w:val="99"/>
    <w:semiHidden/>
    <w:rsid w:val="009165D6"/>
    <w:rPr>
      <w:sz w:val="20"/>
      <w:szCs w:val="20"/>
      <w:lang w:val="en-GB"/>
    </w:rPr>
  </w:style>
  <w:style w:type="character" w:customStyle="1" w:styleId="FootnoteTextChar1">
    <w:name w:val="Footnote Text Char1"/>
    <w:aliases w:val="Geneva 9 Char1,Font: Geneva 9 Char1,Boston 10 Char1,f Char1,single space Char1,Footnote Char1,otnote Text Char1,FOOTNOTES Char1,fn Char1,Note de bas de page Car Char1,ft Char1,Footnote Text Char2 Char1,Footnote Text Char1 Char Char1"/>
    <w:basedOn w:val="DefaultParagraphFont"/>
    <w:link w:val="FootnoteText"/>
    <w:uiPriority w:val="99"/>
    <w:locked/>
    <w:rsid w:val="00A634BE"/>
    <w:rPr>
      <w:rFonts w:ascii="Calibri" w:eastAsia="Times New Roman" w:hAnsi="Calibri" w:cs="Times New Roman"/>
      <w:lang w:val="en-GB" w:eastAsia="en-US"/>
    </w:rPr>
  </w:style>
  <w:style w:type="character" w:styleId="FootnoteReference">
    <w:name w:val="footnote reference"/>
    <w:aliases w:val="16 Point,Superscript 6 Point,Superscript 6 Point + 11 pt,ftref,BVI fnr,BVI fnr Car Car,BVI fnr Car,BVI fnr Car Car Car Car,Footnote text,SUPERS,Footnote Reference Superscript,Ref,num"/>
    <w:basedOn w:val="DefaultParagraphFont"/>
    <w:uiPriority w:val="99"/>
    <w:rsid w:val="00A634BE"/>
    <w:rPr>
      <w:rFonts w:cs="Times New Roman"/>
      <w:vertAlign w:val="superscript"/>
    </w:rPr>
  </w:style>
  <w:style w:type="character" w:customStyle="1" w:styleId="apple-converted-space">
    <w:name w:val="apple-converted-space"/>
    <w:uiPriority w:val="99"/>
    <w:rsid w:val="00A634BE"/>
  </w:style>
  <w:style w:type="paragraph" w:styleId="BodyText">
    <w:name w:val="Body Text"/>
    <w:basedOn w:val="Normal"/>
    <w:link w:val="BodyTextChar"/>
    <w:uiPriority w:val="99"/>
    <w:rsid w:val="00B627C8"/>
    <w:pPr>
      <w:spacing w:after="120"/>
    </w:pPr>
  </w:style>
  <w:style w:type="character" w:customStyle="1" w:styleId="BodyTextChar">
    <w:name w:val="Body Text Char"/>
    <w:basedOn w:val="DefaultParagraphFont"/>
    <w:link w:val="BodyText"/>
    <w:uiPriority w:val="99"/>
    <w:locked/>
    <w:rsid w:val="00B627C8"/>
    <w:rPr>
      <w:rFonts w:cs="Times New Roman"/>
      <w:sz w:val="22"/>
      <w:szCs w:val="22"/>
      <w:lang w:val="en-GB" w:eastAsia="en-US"/>
    </w:rPr>
  </w:style>
  <w:style w:type="paragraph" w:customStyle="1" w:styleId="CaptionTable">
    <w:name w:val="Caption Table"/>
    <w:basedOn w:val="Normal"/>
    <w:uiPriority w:val="99"/>
    <w:rsid w:val="003A1240"/>
    <w:pPr>
      <w:keepNext/>
      <w:framePr w:hSpace="180" w:wrap="around" w:vAnchor="text" w:hAnchor="margin" w:y="220"/>
      <w:tabs>
        <w:tab w:val="left" w:pos="0"/>
        <w:tab w:val="left" w:pos="567"/>
      </w:tabs>
      <w:spacing w:before="120" w:after="0" w:line="360" w:lineRule="auto"/>
    </w:pPr>
    <w:rPr>
      <w:rFonts w:ascii="Times New Roman Bold" w:eastAsia="Times New Roman" w:hAnsi="Times New Roman Bold"/>
      <w:b/>
      <w:bCs/>
      <w:color w:val="000000"/>
      <w:sz w:val="18"/>
    </w:rPr>
  </w:style>
  <w:style w:type="table" w:styleId="TableGrid">
    <w:name w:val="Table Grid"/>
    <w:basedOn w:val="TableNormal"/>
    <w:uiPriority w:val="99"/>
    <w:rsid w:val="003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A1240"/>
    <w:pPr>
      <w:spacing w:after="0" w:line="240" w:lineRule="auto"/>
      <w:jc w:val="both"/>
    </w:pPr>
    <w:rPr>
      <w:rFonts w:cs="Calibri"/>
      <w:sz w:val="18"/>
      <w:szCs w:val="17"/>
    </w:rPr>
  </w:style>
  <w:style w:type="paragraph" w:customStyle="1" w:styleId="CaptionFIguresourceafterreducespace">
    <w:name w:val="Caption FIgure source after (reduce space)"/>
    <w:basedOn w:val="Normal"/>
    <w:next w:val="Normal"/>
    <w:uiPriority w:val="99"/>
    <w:rsid w:val="003A1240"/>
    <w:pPr>
      <w:keepNext/>
      <w:tabs>
        <w:tab w:val="left" w:pos="0"/>
        <w:tab w:val="left" w:pos="567"/>
      </w:tabs>
      <w:spacing w:after="0" w:line="240" w:lineRule="auto"/>
      <w:jc w:val="both"/>
    </w:pPr>
    <w:rPr>
      <w:rFonts w:ascii="Times New Roman Bold" w:eastAsia="Times New Roman" w:hAnsi="Times New Roman Bold"/>
      <w:b/>
      <w:bCs/>
      <w:color w:val="000000"/>
      <w:sz w:val="18"/>
      <w:szCs w:val="20"/>
    </w:rPr>
  </w:style>
  <w:style w:type="paragraph" w:customStyle="1" w:styleId="Bodytextnospcaeafter">
    <w:name w:val="Body text no spcae after"/>
    <w:basedOn w:val="BodyText"/>
    <w:next w:val="BodyText"/>
    <w:uiPriority w:val="99"/>
    <w:rsid w:val="00866ECA"/>
    <w:pPr>
      <w:spacing w:after="0" w:line="360" w:lineRule="auto"/>
      <w:jc w:val="both"/>
    </w:pPr>
    <w:rPr>
      <w:rFonts w:ascii="Times New Roman" w:eastAsia="Times New Roman" w:hAnsi="Times New Roman"/>
      <w:szCs w:val="24"/>
    </w:rPr>
  </w:style>
  <w:style w:type="paragraph" w:styleId="TOC7">
    <w:name w:val="toc 7"/>
    <w:basedOn w:val="Normal"/>
    <w:next w:val="Normal"/>
    <w:autoRedefine/>
    <w:uiPriority w:val="99"/>
    <w:rsid w:val="00743F89"/>
    <w:pPr>
      <w:spacing w:after="0" w:line="24" w:lineRule="atLeast"/>
      <w:ind w:left="1440"/>
    </w:pPr>
    <w:rPr>
      <w:rFonts w:eastAsia="Times New Roman" w:cs="Calibri"/>
      <w:sz w:val="18"/>
      <w:szCs w:val="18"/>
    </w:rPr>
  </w:style>
  <w:style w:type="paragraph" w:customStyle="1" w:styleId="Bulletslastinlist">
    <w:name w:val="Bullets last in list"/>
    <w:aliases w:val="extra space"/>
    <w:basedOn w:val="bullets"/>
    <w:next w:val="BodyText"/>
    <w:uiPriority w:val="99"/>
    <w:rsid w:val="009C5A62"/>
    <w:pPr>
      <w:spacing w:after="240"/>
    </w:pPr>
  </w:style>
  <w:style w:type="paragraph" w:customStyle="1" w:styleId="Bodytextnospaceafter">
    <w:name w:val="Body text no space after"/>
    <w:basedOn w:val="BodyText"/>
    <w:next w:val="BodyText"/>
    <w:uiPriority w:val="99"/>
    <w:rsid w:val="009C5A62"/>
    <w:pPr>
      <w:spacing w:after="0" w:line="360" w:lineRule="auto"/>
      <w:jc w:val="both"/>
    </w:pPr>
    <w:rPr>
      <w:rFonts w:ascii="Times New Roman" w:eastAsia="Times New Roman" w:hAnsi="Times New Roman"/>
      <w:szCs w:val="24"/>
    </w:rPr>
  </w:style>
  <w:style w:type="paragraph" w:customStyle="1" w:styleId="bullets">
    <w:name w:val="bullets"/>
    <w:basedOn w:val="BodyText"/>
    <w:uiPriority w:val="99"/>
    <w:rsid w:val="009C5A62"/>
    <w:pPr>
      <w:numPr>
        <w:numId w:val="16"/>
      </w:numPr>
      <w:tabs>
        <w:tab w:val="left" w:pos="340"/>
      </w:tabs>
      <w:spacing w:after="0" w:line="360" w:lineRule="auto"/>
      <w:ind w:left="340" w:hanging="340"/>
      <w:jc w:val="both"/>
    </w:pPr>
    <w:rPr>
      <w:rFonts w:ascii="Times New Roman" w:eastAsia="Times New Roman" w:hAnsi="Times New Roman"/>
      <w:szCs w:val="24"/>
    </w:rPr>
  </w:style>
  <w:style w:type="paragraph" w:customStyle="1" w:styleId="CaptionTablesourcecitationfollows">
    <w:name w:val="Caption Table source citation follows"/>
    <w:basedOn w:val="Normal"/>
    <w:uiPriority w:val="99"/>
    <w:rsid w:val="00391C5F"/>
    <w:pPr>
      <w:framePr w:hSpace="180" w:wrap="around" w:vAnchor="text" w:hAnchor="text" w:y="1"/>
      <w:tabs>
        <w:tab w:val="left" w:pos="0"/>
        <w:tab w:val="left" w:pos="567"/>
      </w:tabs>
      <w:spacing w:after="0" w:line="360" w:lineRule="auto"/>
      <w:suppressOverlap/>
      <w:jc w:val="both"/>
    </w:pPr>
    <w:rPr>
      <w:rFonts w:ascii="Times New Roman Bold" w:eastAsia="Times New Roman" w:hAnsi="Times New Roman Bold"/>
      <w:bCs/>
      <w:color w:val="000000"/>
      <w:sz w:val="18"/>
      <w:szCs w:val="20"/>
    </w:rPr>
  </w:style>
  <w:style w:type="paragraph" w:customStyle="1" w:styleId="Bulletslastinlistextraspace">
    <w:name w:val="Bullets last in list extra space"/>
    <w:basedOn w:val="bullets"/>
    <w:next w:val="BodyText"/>
    <w:uiPriority w:val="99"/>
    <w:rsid w:val="00244A2D"/>
    <w:pPr>
      <w:numPr>
        <w:numId w:val="2"/>
      </w:numPr>
      <w:spacing w:after="240"/>
      <w:ind w:left="340" w:hanging="340"/>
    </w:pPr>
  </w:style>
  <w:style w:type="paragraph" w:styleId="TOC9">
    <w:name w:val="toc 9"/>
    <w:basedOn w:val="Normal"/>
    <w:next w:val="Normal"/>
    <w:autoRedefine/>
    <w:uiPriority w:val="99"/>
    <w:rsid w:val="00FF299D"/>
    <w:pPr>
      <w:spacing w:after="0" w:line="24" w:lineRule="atLeast"/>
      <w:ind w:left="1920"/>
    </w:pPr>
    <w:rPr>
      <w:rFonts w:eastAsia="Times New Roman" w:cs="Calibri"/>
      <w:sz w:val="18"/>
      <w:szCs w:val="18"/>
    </w:rPr>
  </w:style>
  <w:style w:type="paragraph" w:styleId="NormalWeb">
    <w:name w:val="Normal (Web)"/>
    <w:basedOn w:val="Normal"/>
    <w:uiPriority w:val="99"/>
    <w:semiHidden/>
    <w:rsid w:val="00D5775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ptionFigure">
    <w:name w:val="Caption Figure"/>
    <w:basedOn w:val="Caption"/>
    <w:next w:val="BodyText"/>
    <w:uiPriority w:val="99"/>
    <w:rsid w:val="00AC0714"/>
    <w:pPr>
      <w:tabs>
        <w:tab w:val="left" w:pos="0"/>
        <w:tab w:val="left" w:pos="567"/>
      </w:tabs>
      <w:spacing w:before="120" w:after="0" w:line="360" w:lineRule="auto"/>
      <w:jc w:val="both"/>
    </w:pPr>
    <w:rPr>
      <w:rFonts w:ascii="Times New Roman Bold" w:eastAsia="Times New Roman" w:hAnsi="Times New Roman Bold"/>
      <w:b/>
      <w:bCs/>
      <w:i w:val="0"/>
      <w:iCs w:val="0"/>
      <w:color w:val="000000"/>
      <w:szCs w:val="20"/>
    </w:rPr>
  </w:style>
  <w:style w:type="paragraph" w:styleId="Caption">
    <w:name w:val="caption"/>
    <w:basedOn w:val="Normal"/>
    <w:next w:val="Normal"/>
    <w:uiPriority w:val="99"/>
    <w:qFormat/>
    <w:rsid w:val="00AC0714"/>
    <w:pPr>
      <w:spacing w:line="240" w:lineRule="auto"/>
    </w:pPr>
    <w:rPr>
      <w:i/>
      <w:iCs/>
      <w:color w:val="1F497D"/>
      <w:sz w:val="18"/>
      <w:szCs w:val="18"/>
    </w:rPr>
  </w:style>
  <w:style w:type="paragraph" w:styleId="Bibliography">
    <w:name w:val="Bibliography"/>
    <w:basedOn w:val="Normal"/>
    <w:next w:val="Normal"/>
    <w:uiPriority w:val="99"/>
    <w:rsid w:val="00AA2D08"/>
    <w:pPr>
      <w:spacing w:after="0" w:line="24" w:lineRule="atLeast"/>
      <w:jc w:val="both"/>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233">
      <w:marLeft w:val="0"/>
      <w:marRight w:val="0"/>
      <w:marTop w:val="0"/>
      <w:marBottom w:val="0"/>
      <w:divBdr>
        <w:top w:val="none" w:sz="0" w:space="0" w:color="auto"/>
        <w:left w:val="none" w:sz="0" w:space="0" w:color="auto"/>
        <w:bottom w:val="none" w:sz="0" w:space="0" w:color="auto"/>
        <w:right w:val="none" w:sz="0" w:space="0" w:color="auto"/>
      </w:divBdr>
    </w:div>
    <w:div w:id="86854234">
      <w:marLeft w:val="0"/>
      <w:marRight w:val="0"/>
      <w:marTop w:val="0"/>
      <w:marBottom w:val="0"/>
      <w:divBdr>
        <w:top w:val="none" w:sz="0" w:space="0" w:color="auto"/>
        <w:left w:val="none" w:sz="0" w:space="0" w:color="auto"/>
        <w:bottom w:val="none" w:sz="0" w:space="0" w:color="auto"/>
        <w:right w:val="none" w:sz="0" w:space="0" w:color="auto"/>
      </w:divBdr>
    </w:div>
    <w:div w:id="86854235">
      <w:marLeft w:val="0"/>
      <w:marRight w:val="0"/>
      <w:marTop w:val="0"/>
      <w:marBottom w:val="0"/>
      <w:divBdr>
        <w:top w:val="none" w:sz="0" w:space="0" w:color="auto"/>
        <w:left w:val="none" w:sz="0" w:space="0" w:color="auto"/>
        <w:bottom w:val="none" w:sz="0" w:space="0" w:color="auto"/>
        <w:right w:val="none" w:sz="0" w:space="0" w:color="auto"/>
      </w:divBdr>
    </w:div>
    <w:div w:id="86854236">
      <w:marLeft w:val="0"/>
      <w:marRight w:val="0"/>
      <w:marTop w:val="0"/>
      <w:marBottom w:val="0"/>
      <w:divBdr>
        <w:top w:val="none" w:sz="0" w:space="0" w:color="auto"/>
        <w:left w:val="none" w:sz="0" w:space="0" w:color="auto"/>
        <w:bottom w:val="none" w:sz="0" w:space="0" w:color="auto"/>
        <w:right w:val="none" w:sz="0" w:space="0" w:color="auto"/>
      </w:divBdr>
    </w:div>
    <w:div w:id="86854237">
      <w:marLeft w:val="0"/>
      <w:marRight w:val="0"/>
      <w:marTop w:val="0"/>
      <w:marBottom w:val="0"/>
      <w:divBdr>
        <w:top w:val="none" w:sz="0" w:space="0" w:color="auto"/>
        <w:left w:val="none" w:sz="0" w:space="0" w:color="auto"/>
        <w:bottom w:val="none" w:sz="0" w:space="0" w:color="auto"/>
        <w:right w:val="none" w:sz="0" w:space="0" w:color="auto"/>
      </w:divBdr>
      <w:divsChild>
        <w:div w:id="86854243">
          <w:marLeft w:val="547"/>
          <w:marRight w:val="0"/>
          <w:marTop w:val="96"/>
          <w:marBottom w:val="0"/>
          <w:divBdr>
            <w:top w:val="none" w:sz="0" w:space="0" w:color="auto"/>
            <w:left w:val="none" w:sz="0" w:space="0" w:color="auto"/>
            <w:bottom w:val="none" w:sz="0" w:space="0" w:color="auto"/>
            <w:right w:val="none" w:sz="0" w:space="0" w:color="auto"/>
          </w:divBdr>
        </w:div>
        <w:div w:id="86854244">
          <w:marLeft w:val="547"/>
          <w:marRight w:val="0"/>
          <w:marTop w:val="96"/>
          <w:marBottom w:val="0"/>
          <w:divBdr>
            <w:top w:val="none" w:sz="0" w:space="0" w:color="auto"/>
            <w:left w:val="none" w:sz="0" w:space="0" w:color="auto"/>
            <w:bottom w:val="none" w:sz="0" w:space="0" w:color="auto"/>
            <w:right w:val="none" w:sz="0" w:space="0" w:color="auto"/>
          </w:divBdr>
        </w:div>
        <w:div w:id="86854251">
          <w:marLeft w:val="547"/>
          <w:marRight w:val="0"/>
          <w:marTop w:val="96"/>
          <w:marBottom w:val="0"/>
          <w:divBdr>
            <w:top w:val="none" w:sz="0" w:space="0" w:color="auto"/>
            <w:left w:val="none" w:sz="0" w:space="0" w:color="auto"/>
            <w:bottom w:val="none" w:sz="0" w:space="0" w:color="auto"/>
            <w:right w:val="none" w:sz="0" w:space="0" w:color="auto"/>
          </w:divBdr>
        </w:div>
        <w:div w:id="86854262">
          <w:marLeft w:val="547"/>
          <w:marRight w:val="0"/>
          <w:marTop w:val="96"/>
          <w:marBottom w:val="0"/>
          <w:divBdr>
            <w:top w:val="none" w:sz="0" w:space="0" w:color="auto"/>
            <w:left w:val="none" w:sz="0" w:space="0" w:color="auto"/>
            <w:bottom w:val="none" w:sz="0" w:space="0" w:color="auto"/>
            <w:right w:val="none" w:sz="0" w:space="0" w:color="auto"/>
          </w:divBdr>
        </w:div>
        <w:div w:id="86854265">
          <w:marLeft w:val="547"/>
          <w:marRight w:val="0"/>
          <w:marTop w:val="96"/>
          <w:marBottom w:val="0"/>
          <w:divBdr>
            <w:top w:val="none" w:sz="0" w:space="0" w:color="auto"/>
            <w:left w:val="none" w:sz="0" w:space="0" w:color="auto"/>
            <w:bottom w:val="none" w:sz="0" w:space="0" w:color="auto"/>
            <w:right w:val="none" w:sz="0" w:space="0" w:color="auto"/>
          </w:divBdr>
        </w:div>
        <w:div w:id="86854276">
          <w:marLeft w:val="547"/>
          <w:marRight w:val="0"/>
          <w:marTop w:val="96"/>
          <w:marBottom w:val="0"/>
          <w:divBdr>
            <w:top w:val="none" w:sz="0" w:space="0" w:color="auto"/>
            <w:left w:val="none" w:sz="0" w:space="0" w:color="auto"/>
            <w:bottom w:val="none" w:sz="0" w:space="0" w:color="auto"/>
            <w:right w:val="none" w:sz="0" w:space="0" w:color="auto"/>
          </w:divBdr>
        </w:div>
      </w:divsChild>
    </w:div>
    <w:div w:id="86854238">
      <w:marLeft w:val="0"/>
      <w:marRight w:val="0"/>
      <w:marTop w:val="0"/>
      <w:marBottom w:val="0"/>
      <w:divBdr>
        <w:top w:val="none" w:sz="0" w:space="0" w:color="auto"/>
        <w:left w:val="none" w:sz="0" w:space="0" w:color="auto"/>
        <w:bottom w:val="none" w:sz="0" w:space="0" w:color="auto"/>
        <w:right w:val="none" w:sz="0" w:space="0" w:color="auto"/>
      </w:divBdr>
    </w:div>
    <w:div w:id="86854239">
      <w:marLeft w:val="0"/>
      <w:marRight w:val="0"/>
      <w:marTop w:val="0"/>
      <w:marBottom w:val="0"/>
      <w:divBdr>
        <w:top w:val="none" w:sz="0" w:space="0" w:color="auto"/>
        <w:left w:val="none" w:sz="0" w:space="0" w:color="auto"/>
        <w:bottom w:val="none" w:sz="0" w:space="0" w:color="auto"/>
        <w:right w:val="none" w:sz="0" w:space="0" w:color="auto"/>
      </w:divBdr>
    </w:div>
    <w:div w:id="86854241">
      <w:marLeft w:val="0"/>
      <w:marRight w:val="0"/>
      <w:marTop w:val="0"/>
      <w:marBottom w:val="0"/>
      <w:divBdr>
        <w:top w:val="none" w:sz="0" w:space="0" w:color="auto"/>
        <w:left w:val="none" w:sz="0" w:space="0" w:color="auto"/>
        <w:bottom w:val="none" w:sz="0" w:space="0" w:color="auto"/>
        <w:right w:val="none" w:sz="0" w:space="0" w:color="auto"/>
      </w:divBdr>
    </w:div>
    <w:div w:id="86854245">
      <w:marLeft w:val="0"/>
      <w:marRight w:val="0"/>
      <w:marTop w:val="0"/>
      <w:marBottom w:val="0"/>
      <w:divBdr>
        <w:top w:val="none" w:sz="0" w:space="0" w:color="auto"/>
        <w:left w:val="none" w:sz="0" w:space="0" w:color="auto"/>
        <w:bottom w:val="none" w:sz="0" w:space="0" w:color="auto"/>
        <w:right w:val="none" w:sz="0" w:space="0" w:color="auto"/>
      </w:divBdr>
      <w:divsChild>
        <w:div w:id="86854255">
          <w:marLeft w:val="547"/>
          <w:marRight w:val="0"/>
          <w:marTop w:val="288"/>
          <w:marBottom w:val="0"/>
          <w:divBdr>
            <w:top w:val="none" w:sz="0" w:space="0" w:color="auto"/>
            <w:left w:val="none" w:sz="0" w:space="0" w:color="auto"/>
            <w:bottom w:val="none" w:sz="0" w:space="0" w:color="auto"/>
            <w:right w:val="none" w:sz="0" w:space="0" w:color="auto"/>
          </w:divBdr>
        </w:div>
        <w:div w:id="86854277">
          <w:marLeft w:val="547"/>
          <w:marRight w:val="0"/>
          <w:marTop w:val="288"/>
          <w:marBottom w:val="0"/>
          <w:divBdr>
            <w:top w:val="none" w:sz="0" w:space="0" w:color="auto"/>
            <w:left w:val="none" w:sz="0" w:space="0" w:color="auto"/>
            <w:bottom w:val="none" w:sz="0" w:space="0" w:color="auto"/>
            <w:right w:val="none" w:sz="0" w:space="0" w:color="auto"/>
          </w:divBdr>
        </w:div>
      </w:divsChild>
    </w:div>
    <w:div w:id="86854246">
      <w:marLeft w:val="0"/>
      <w:marRight w:val="0"/>
      <w:marTop w:val="0"/>
      <w:marBottom w:val="0"/>
      <w:divBdr>
        <w:top w:val="none" w:sz="0" w:space="0" w:color="auto"/>
        <w:left w:val="none" w:sz="0" w:space="0" w:color="auto"/>
        <w:bottom w:val="none" w:sz="0" w:space="0" w:color="auto"/>
        <w:right w:val="none" w:sz="0" w:space="0" w:color="auto"/>
      </w:divBdr>
    </w:div>
    <w:div w:id="86854247">
      <w:marLeft w:val="0"/>
      <w:marRight w:val="0"/>
      <w:marTop w:val="0"/>
      <w:marBottom w:val="0"/>
      <w:divBdr>
        <w:top w:val="none" w:sz="0" w:space="0" w:color="auto"/>
        <w:left w:val="none" w:sz="0" w:space="0" w:color="auto"/>
        <w:bottom w:val="none" w:sz="0" w:space="0" w:color="auto"/>
        <w:right w:val="none" w:sz="0" w:space="0" w:color="auto"/>
      </w:divBdr>
    </w:div>
    <w:div w:id="86854249">
      <w:marLeft w:val="0"/>
      <w:marRight w:val="0"/>
      <w:marTop w:val="0"/>
      <w:marBottom w:val="0"/>
      <w:divBdr>
        <w:top w:val="none" w:sz="0" w:space="0" w:color="auto"/>
        <w:left w:val="none" w:sz="0" w:space="0" w:color="auto"/>
        <w:bottom w:val="none" w:sz="0" w:space="0" w:color="auto"/>
        <w:right w:val="none" w:sz="0" w:space="0" w:color="auto"/>
      </w:divBdr>
    </w:div>
    <w:div w:id="86854250">
      <w:marLeft w:val="0"/>
      <w:marRight w:val="0"/>
      <w:marTop w:val="0"/>
      <w:marBottom w:val="0"/>
      <w:divBdr>
        <w:top w:val="none" w:sz="0" w:space="0" w:color="auto"/>
        <w:left w:val="none" w:sz="0" w:space="0" w:color="auto"/>
        <w:bottom w:val="none" w:sz="0" w:space="0" w:color="auto"/>
        <w:right w:val="none" w:sz="0" w:space="0" w:color="auto"/>
      </w:divBdr>
    </w:div>
    <w:div w:id="86854256">
      <w:marLeft w:val="0"/>
      <w:marRight w:val="0"/>
      <w:marTop w:val="0"/>
      <w:marBottom w:val="0"/>
      <w:divBdr>
        <w:top w:val="none" w:sz="0" w:space="0" w:color="auto"/>
        <w:left w:val="none" w:sz="0" w:space="0" w:color="auto"/>
        <w:bottom w:val="none" w:sz="0" w:space="0" w:color="auto"/>
        <w:right w:val="none" w:sz="0" w:space="0" w:color="auto"/>
      </w:divBdr>
      <w:divsChild>
        <w:div w:id="86854230">
          <w:marLeft w:val="547"/>
          <w:marRight w:val="0"/>
          <w:marTop w:val="96"/>
          <w:marBottom w:val="0"/>
          <w:divBdr>
            <w:top w:val="none" w:sz="0" w:space="0" w:color="auto"/>
            <w:left w:val="none" w:sz="0" w:space="0" w:color="auto"/>
            <w:bottom w:val="none" w:sz="0" w:space="0" w:color="auto"/>
            <w:right w:val="none" w:sz="0" w:space="0" w:color="auto"/>
          </w:divBdr>
        </w:div>
        <w:div w:id="86854253">
          <w:marLeft w:val="547"/>
          <w:marRight w:val="0"/>
          <w:marTop w:val="96"/>
          <w:marBottom w:val="0"/>
          <w:divBdr>
            <w:top w:val="none" w:sz="0" w:space="0" w:color="auto"/>
            <w:left w:val="none" w:sz="0" w:space="0" w:color="auto"/>
            <w:bottom w:val="none" w:sz="0" w:space="0" w:color="auto"/>
            <w:right w:val="none" w:sz="0" w:space="0" w:color="auto"/>
          </w:divBdr>
        </w:div>
        <w:div w:id="86854254">
          <w:marLeft w:val="547"/>
          <w:marRight w:val="0"/>
          <w:marTop w:val="96"/>
          <w:marBottom w:val="0"/>
          <w:divBdr>
            <w:top w:val="none" w:sz="0" w:space="0" w:color="auto"/>
            <w:left w:val="none" w:sz="0" w:space="0" w:color="auto"/>
            <w:bottom w:val="none" w:sz="0" w:space="0" w:color="auto"/>
            <w:right w:val="none" w:sz="0" w:space="0" w:color="auto"/>
          </w:divBdr>
        </w:div>
        <w:div w:id="86854259">
          <w:marLeft w:val="547"/>
          <w:marRight w:val="0"/>
          <w:marTop w:val="96"/>
          <w:marBottom w:val="0"/>
          <w:divBdr>
            <w:top w:val="none" w:sz="0" w:space="0" w:color="auto"/>
            <w:left w:val="none" w:sz="0" w:space="0" w:color="auto"/>
            <w:bottom w:val="none" w:sz="0" w:space="0" w:color="auto"/>
            <w:right w:val="none" w:sz="0" w:space="0" w:color="auto"/>
          </w:divBdr>
        </w:div>
        <w:div w:id="86854273">
          <w:marLeft w:val="547"/>
          <w:marRight w:val="0"/>
          <w:marTop w:val="96"/>
          <w:marBottom w:val="0"/>
          <w:divBdr>
            <w:top w:val="none" w:sz="0" w:space="0" w:color="auto"/>
            <w:left w:val="none" w:sz="0" w:space="0" w:color="auto"/>
            <w:bottom w:val="none" w:sz="0" w:space="0" w:color="auto"/>
            <w:right w:val="none" w:sz="0" w:space="0" w:color="auto"/>
          </w:divBdr>
        </w:div>
      </w:divsChild>
    </w:div>
    <w:div w:id="86854257">
      <w:marLeft w:val="0"/>
      <w:marRight w:val="0"/>
      <w:marTop w:val="0"/>
      <w:marBottom w:val="0"/>
      <w:divBdr>
        <w:top w:val="none" w:sz="0" w:space="0" w:color="auto"/>
        <w:left w:val="none" w:sz="0" w:space="0" w:color="auto"/>
        <w:bottom w:val="none" w:sz="0" w:space="0" w:color="auto"/>
        <w:right w:val="none" w:sz="0" w:space="0" w:color="auto"/>
      </w:divBdr>
    </w:div>
    <w:div w:id="86854260">
      <w:marLeft w:val="0"/>
      <w:marRight w:val="0"/>
      <w:marTop w:val="0"/>
      <w:marBottom w:val="0"/>
      <w:divBdr>
        <w:top w:val="none" w:sz="0" w:space="0" w:color="auto"/>
        <w:left w:val="none" w:sz="0" w:space="0" w:color="auto"/>
        <w:bottom w:val="none" w:sz="0" w:space="0" w:color="auto"/>
        <w:right w:val="none" w:sz="0" w:space="0" w:color="auto"/>
      </w:divBdr>
    </w:div>
    <w:div w:id="86854261">
      <w:marLeft w:val="0"/>
      <w:marRight w:val="0"/>
      <w:marTop w:val="0"/>
      <w:marBottom w:val="0"/>
      <w:divBdr>
        <w:top w:val="none" w:sz="0" w:space="0" w:color="auto"/>
        <w:left w:val="none" w:sz="0" w:space="0" w:color="auto"/>
        <w:bottom w:val="none" w:sz="0" w:space="0" w:color="auto"/>
        <w:right w:val="none" w:sz="0" w:space="0" w:color="auto"/>
      </w:divBdr>
    </w:div>
    <w:div w:id="86854266">
      <w:marLeft w:val="0"/>
      <w:marRight w:val="0"/>
      <w:marTop w:val="0"/>
      <w:marBottom w:val="0"/>
      <w:divBdr>
        <w:top w:val="none" w:sz="0" w:space="0" w:color="auto"/>
        <w:left w:val="none" w:sz="0" w:space="0" w:color="auto"/>
        <w:bottom w:val="none" w:sz="0" w:space="0" w:color="auto"/>
        <w:right w:val="none" w:sz="0" w:space="0" w:color="auto"/>
      </w:divBdr>
    </w:div>
    <w:div w:id="86854267">
      <w:marLeft w:val="0"/>
      <w:marRight w:val="0"/>
      <w:marTop w:val="0"/>
      <w:marBottom w:val="0"/>
      <w:divBdr>
        <w:top w:val="none" w:sz="0" w:space="0" w:color="auto"/>
        <w:left w:val="none" w:sz="0" w:space="0" w:color="auto"/>
        <w:bottom w:val="none" w:sz="0" w:space="0" w:color="auto"/>
        <w:right w:val="none" w:sz="0" w:space="0" w:color="auto"/>
      </w:divBdr>
    </w:div>
    <w:div w:id="86854269">
      <w:marLeft w:val="0"/>
      <w:marRight w:val="0"/>
      <w:marTop w:val="0"/>
      <w:marBottom w:val="0"/>
      <w:divBdr>
        <w:top w:val="none" w:sz="0" w:space="0" w:color="auto"/>
        <w:left w:val="none" w:sz="0" w:space="0" w:color="auto"/>
        <w:bottom w:val="none" w:sz="0" w:space="0" w:color="auto"/>
        <w:right w:val="none" w:sz="0" w:space="0" w:color="auto"/>
      </w:divBdr>
    </w:div>
    <w:div w:id="86854271">
      <w:marLeft w:val="0"/>
      <w:marRight w:val="0"/>
      <w:marTop w:val="0"/>
      <w:marBottom w:val="0"/>
      <w:divBdr>
        <w:top w:val="none" w:sz="0" w:space="0" w:color="auto"/>
        <w:left w:val="none" w:sz="0" w:space="0" w:color="auto"/>
        <w:bottom w:val="none" w:sz="0" w:space="0" w:color="auto"/>
        <w:right w:val="none" w:sz="0" w:space="0" w:color="auto"/>
      </w:divBdr>
    </w:div>
    <w:div w:id="86854272">
      <w:marLeft w:val="0"/>
      <w:marRight w:val="0"/>
      <w:marTop w:val="0"/>
      <w:marBottom w:val="0"/>
      <w:divBdr>
        <w:top w:val="none" w:sz="0" w:space="0" w:color="auto"/>
        <w:left w:val="none" w:sz="0" w:space="0" w:color="auto"/>
        <w:bottom w:val="none" w:sz="0" w:space="0" w:color="auto"/>
        <w:right w:val="none" w:sz="0" w:space="0" w:color="auto"/>
      </w:divBdr>
    </w:div>
    <w:div w:id="86854274">
      <w:marLeft w:val="0"/>
      <w:marRight w:val="0"/>
      <w:marTop w:val="0"/>
      <w:marBottom w:val="0"/>
      <w:divBdr>
        <w:top w:val="none" w:sz="0" w:space="0" w:color="auto"/>
        <w:left w:val="none" w:sz="0" w:space="0" w:color="auto"/>
        <w:bottom w:val="none" w:sz="0" w:space="0" w:color="auto"/>
        <w:right w:val="none" w:sz="0" w:space="0" w:color="auto"/>
      </w:divBdr>
    </w:div>
    <w:div w:id="86854275">
      <w:marLeft w:val="0"/>
      <w:marRight w:val="0"/>
      <w:marTop w:val="0"/>
      <w:marBottom w:val="0"/>
      <w:divBdr>
        <w:top w:val="none" w:sz="0" w:space="0" w:color="auto"/>
        <w:left w:val="none" w:sz="0" w:space="0" w:color="auto"/>
        <w:bottom w:val="none" w:sz="0" w:space="0" w:color="auto"/>
        <w:right w:val="none" w:sz="0" w:space="0" w:color="auto"/>
      </w:divBdr>
      <w:divsChild>
        <w:div w:id="86854231">
          <w:marLeft w:val="547"/>
          <w:marRight w:val="0"/>
          <w:marTop w:val="96"/>
          <w:marBottom w:val="0"/>
          <w:divBdr>
            <w:top w:val="none" w:sz="0" w:space="0" w:color="auto"/>
            <w:left w:val="none" w:sz="0" w:space="0" w:color="auto"/>
            <w:bottom w:val="none" w:sz="0" w:space="0" w:color="auto"/>
            <w:right w:val="none" w:sz="0" w:space="0" w:color="auto"/>
          </w:divBdr>
        </w:div>
        <w:div w:id="86854232">
          <w:marLeft w:val="547"/>
          <w:marRight w:val="0"/>
          <w:marTop w:val="96"/>
          <w:marBottom w:val="0"/>
          <w:divBdr>
            <w:top w:val="none" w:sz="0" w:space="0" w:color="auto"/>
            <w:left w:val="none" w:sz="0" w:space="0" w:color="auto"/>
            <w:bottom w:val="none" w:sz="0" w:space="0" w:color="auto"/>
            <w:right w:val="none" w:sz="0" w:space="0" w:color="auto"/>
          </w:divBdr>
        </w:div>
        <w:div w:id="86854242">
          <w:marLeft w:val="547"/>
          <w:marRight w:val="0"/>
          <w:marTop w:val="96"/>
          <w:marBottom w:val="0"/>
          <w:divBdr>
            <w:top w:val="none" w:sz="0" w:space="0" w:color="auto"/>
            <w:left w:val="none" w:sz="0" w:space="0" w:color="auto"/>
            <w:bottom w:val="none" w:sz="0" w:space="0" w:color="auto"/>
            <w:right w:val="none" w:sz="0" w:space="0" w:color="auto"/>
          </w:divBdr>
        </w:div>
        <w:div w:id="86854248">
          <w:marLeft w:val="547"/>
          <w:marRight w:val="0"/>
          <w:marTop w:val="96"/>
          <w:marBottom w:val="0"/>
          <w:divBdr>
            <w:top w:val="none" w:sz="0" w:space="0" w:color="auto"/>
            <w:left w:val="none" w:sz="0" w:space="0" w:color="auto"/>
            <w:bottom w:val="none" w:sz="0" w:space="0" w:color="auto"/>
            <w:right w:val="none" w:sz="0" w:space="0" w:color="auto"/>
          </w:divBdr>
        </w:div>
        <w:div w:id="86854258">
          <w:marLeft w:val="547"/>
          <w:marRight w:val="0"/>
          <w:marTop w:val="96"/>
          <w:marBottom w:val="0"/>
          <w:divBdr>
            <w:top w:val="none" w:sz="0" w:space="0" w:color="auto"/>
            <w:left w:val="none" w:sz="0" w:space="0" w:color="auto"/>
            <w:bottom w:val="none" w:sz="0" w:space="0" w:color="auto"/>
            <w:right w:val="none" w:sz="0" w:space="0" w:color="auto"/>
          </w:divBdr>
        </w:div>
        <w:div w:id="86854263">
          <w:marLeft w:val="547"/>
          <w:marRight w:val="0"/>
          <w:marTop w:val="96"/>
          <w:marBottom w:val="0"/>
          <w:divBdr>
            <w:top w:val="none" w:sz="0" w:space="0" w:color="auto"/>
            <w:left w:val="none" w:sz="0" w:space="0" w:color="auto"/>
            <w:bottom w:val="none" w:sz="0" w:space="0" w:color="auto"/>
            <w:right w:val="none" w:sz="0" w:space="0" w:color="auto"/>
          </w:divBdr>
        </w:div>
        <w:div w:id="86854264">
          <w:marLeft w:val="547"/>
          <w:marRight w:val="0"/>
          <w:marTop w:val="96"/>
          <w:marBottom w:val="0"/>
          <w:divBdr>
            <w:top w:val="none" w:sz="0" w:space="0" w:color="auto"/>
            <w:left w:val="none" w:sz="0" w:space="0" w:color="auto"/>
            <w:bottom w:val="none" w:sz="0" w:space="0" w:color="auto"/>
            <w:right w:val="none" w:sz="0" w:space="0" w:color="auto"/>
          </w:divBdr>
        </w:div>
        <w:div w:id="86854268">
          <w:marLeft w:val="547"/>
          <w:marRight w:val="0"/>
          <w:marTop w:val="96"/>
          <w:marBottom w:val="0"/>
          <w:divBdr>
            <w:top w:val="none" w:sz="0" w:space="0" w:color="auto"/>
            <w:left w:val="none" w:sz="0" w:space="0" w:color="auto"/>
            <w:bottom w:val="none" w:sz="0" w:space="0" w:color="auto"/>
            <w:right w:val="none" w:sz="0" w:space="0" w:color="auto"/>
          </w:divBdr>
        </w:div>
        <w:div w:id="86854270">
          <w:marLeft w:val="547"/>
          <w:marRight w:val="0"/>
          <w:marTop w:val="96"/>
          <w:marBottom w:val="0"/>
          <w:divBdr>
            <w:top w:val="none" w:sz="0" w:space="0" w:color="auto"/>
            <w:left w:val="none" w:sz="0" w:space="0" w:color="auto"/>
            <w:bottom w:val="none" w:sz="0" w:space="0" w:color="auto"/>
            <w:right w:val="none" w:sz="0" w:space="0" w:color="auto"/>
          </w:divBdr>
        </w:div>
        <w:div w:id="86854280">
          <w:marLeft w:val="547"/>
          <w:marRight w:val="0"/>
          <w:marTop w:val="96"/>
          <w:marBottom w:val="0"/>
          <w:divBdr>
            <w:top w:val="none" w:sz="0" w:space="0" w:color="auto"/>
            <w:left w:val="none" w:sz="0" w:space="0" w:color="auto"/>
            <w:bottom w:val="none" w:sz="0" w:space="0" w:color="auto"/>
            <w:right w:val="none" w:sz="0" w:space="0" w:color="auto"/>
          </w:divBdr>
        </w:div>
      </w:divsChild>
    </w:div>
    <w:div w:id="86854278">
      <w:marLeft w:val="53"/>
      <w:marRight w:val="53"/>
      <w:marTop w:val="53"/>
      <w:marBottom w:val="13"/>
      <w:divBdr>
        <w:top w:val="none" w:sz="0" w:space="0" w:color="auto"/>
        <w:left w:val="none" w:sz="0" w:space="0" w:color="auto"/>
        <w:bottom w:val="none" w:sz="0" w:space="0" w:color="auto"/>
        <w:right w:val="none" w:sz="0" w:space="0" w:color="auto"/>
      </w:divBdr>
      <w:divsChild>
        <w:div w:id="86854240">
          <w:marLeft w:val="0"/>
          <w:marRight w:val="0"/>
          <w:marTop w:val="0"/>
          <w:marBottom w:val="0"/>
          <w:divBdr>
            <w:top w:val="none" w:sz="0" w:space="0" w:color="auto"/>
            <w:left w:val="none" w:sz="0" w:space="0" w:color="auto"/>
            <w:bottom w:val="none" w:sz="0" w:space="0" w:color="auto"/>
            <w:right w:val="none" w:sz="0" w:space="0" w:color="auto"/>
          </w:divBdr>
        </w:div>
        <w:div w:id="86854252">
          <w:marLeft w:val="0"/>
          <w:marRight w:val="0"/>
          <w:marTop w:val="0"/>
          <w:marBottom w:val="0"/>
          <w:divBdr>
            <w:top w:val="none" w:sz="0" w:space="0" w:color="auto"/>
            <w:left w:val="none" w:sz="0" w:space="0" w:color="auto"/>
            <w:bottom w:val="none" w:sz="0" w:space="0" w:color="auto"/>
            <w:right w:val="none" w:sz="0" w:space="0" w:color="auto"/>
          </w:divBdr>
        </w:div>
        <w:div w:id="86854282">
          <w:marLeft w:val="0"/>
          <w:marRight w:val="0"/>
          <w:marTop w:val="0"/>
          <w:marBottom w:val="0"/>
          <w:divBdr>
            <w:top w:val="none" w:sz="0" w:space="0" w:color="auto"/>
            <w:left w:val="none" w:sz="0" w:space="0" w:color="auto"/>
            <w:bottom w:val="none" w:sz="0" w:space="0" w:color="auto"/>
            <w:right w:val="none" w:sz="0" w:space="0" w:color="auto"/>
          </w:divBdr>
        </w:div>
      </w:divsChild>
    </w:div>
    <w:div w:id="86854279">
      <w:marLeft w:val="0"/>
      <w:marRight w:val="0"/>
      <w:marTop w:val="0"/>
      <w:marBottom w:val="0"/>
      <w:divBdr>
        <w:top w:val="none" w:sz="0" w:space="0" w:color="auto"/>
        <w:left w:val="none" w:sz="0" w:space="0" w:color="auto"/>
        <w:bottom w:val="none" w:sz="0" w:space="0" w:color="auto"/>
        <w:right w:val="none" w:sz="0" w:space="0" w:color="auto"/>
      </w:divBdr>
    </w:div>
    <w:div w:id="86854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2448</Words>
  <Characters>13954</Characters>
  <Application>Microsoft Office Word</Application>
  <DocSecurity>0</DocSecurity>
  <Lines>116</Lines>
  <Paragraphs>32</Paragraphs>
  <ScaleCrop>false</ScaleCrop>
  <Company>Microsoft</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Loreley</cp:lastModifiedBy>
  <cp:revision>4</cp:revision>
  <dcterms:created xsi:type="dcterms:W3CDTF">2017-02-14T19:13:00Z</dcterms:created>
  <dcterms:modified xsi:type="dcterms:W3CDTF">2017-02-15T15:34:00Z</dcterms:modified>
</cp:coreProperties>
</file>